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A87" w:rsidRPr="006D308E" w:rsidRDefault="00E32A87" w:rsidP="00A80503">
      <w:pPr>
        <w:spacing w:after="120"/>
        <w:jc w:val="both"/>
        <w:rPr>
          <w:rFonts w:ascii="SkolaSans" w:hAnsi="SkolaSans" w:cs="TimesNewRomanPS-BoldMT"/>
          <w:bCs/>
          <w:sz w:val="22"/>
          <w:szCs w:val="22"/>
          <w:lang w:val="mk-MK"/>
        </w:rPr>
      </w:pPr>
      <w:r w:rsidRPr="006D308E">
        <w:rPr>
          <w:rFonts w:ascii="SkolaSans" w:hAnsi="SkolaSans" w:cs="TimesNewRomanPS-BoldMT"/>
          <w:bCs/>
          <w:sz w:val="22"/>
          <w:szCs w:val="22"/>
          <w:lang w:val="mk-MK"/>
        </w:rPr>
        <w:t>Комисијата за заштита на конкуренцијата согласно член 28 став (3), а во врска со член 19 став</w:t>
      </w:r>
      <w:r w:rsidR="00DB5311">
        <w:rPr>
          <w:rFonts w:ascii="SkolaSans" w:hAnsi="SkolaSans" w:cs="TimesNewRomanPS-BoldMT"/>
          <w:bCs/>
          <w:sz w:val="22"/>
          <w:szCs w:val="22"/>
        </w:rPr>
        <w:t xml:space="preserve"> </w:t>
      </w:r>
      <w:r w:rsidRPr="006D308E">
        <w:rPr>
          <w:rFonts w:ascii="SkolaSans" w:hAnsi="SkolaSans" w:cs="TimesNewRomanPS-BoldMT"/>
          <w:bCs/>
          <w:sz w:val="22"/>
          <w:szCs w:val="22"/>
          <w:lang w:val="mk-MK"/>
        </w:rPr>
        <w:t>(1) точка 2)</w:t>
      </w:r>
      <w:r w:rsidRPr="006D308E">
        <w:rPr>
          <w:rFonts w:ascii="SkolaSans" w:hAnsi="SkolaSans" w:cs="TimesNewRomanPS-BoldMT"/>
          <w:bCs/>
          <w:color w:val="1F497D" w:themeColor="text2"/>
          <w:sz w:val="22"/>
          <w:szCs w:val="22"/>
          <w:lang w:val="mk-MK"/>
        </w:rPr>
        <w:t xml:space="preserve"> </w:t>
      </w:r>
      <w:r w:rsidRPr="006D308E">
        <w:rPr>
          <w:rFonts w:ascii="SkolaSans" w:hAnsi="SkolaSans" w:cs="TimesNewRomanPS-BoldMT"/>
          <w:bCs/>
          <w:sz w:val="22"/>
          <w:szCs w:val="22"/>
          <w:lang w:val="mk-MK"/>
        </w:rPr>
        <w:t>од Законот за заштита на конкуренцијата („Службен весник на Република Македонија“ бр</w:t>
      </w:r>
      <w:r w:rsidR="008839FC" w:rsidRPr="006D308E">
        <w:rPr>
          <w:rFonts w:ascii="SkolaSans" w:hAnsi="SkolaSans" w:cs="TimesNewRomanPS-BoldMT"/>
          <w:bCs/>
          <w:sz w:val="22"/>
          <w:szCs w:val="22"/>
          <w:lang w:val="mk-MK"/>
        </w:rPr>
        <w:t>.</w:t>
      </w:r>
      <w:r w:rsidR="000D2B85">
        <w:rPr>
          <w:rFonts w:ascii="SkolaSans" w:hAnsi="SkolaSans" w:cs="TimesNewRomanPS-BoldMT"/>
          <w:bCs/>
          <w:sz w:val="22"/>
          <w:szCs w:val="22"/>
          <w:lang w:val="mk-MK"/>
        </w:rPr>
        <w:t xml:space="preserve"> 145/10,</w:t>
      </w:r>
      <w:r w:rsidRPr="006D308E">
        <w:rPr>
          <w:rFonts w:ascii="SkolaSans" w:hAnsi="SkolaSans" w:cs="TimesNewRomanPS-BoldMT"/>
          <w:bCs/>
          <w:sz w:val="22"/>
          <w:szCs w:val="22"/>
          <w:lang w:val="mk-MK"/>
        </w:rPr>
        <w:t xml:space="preserve"> 136/11</w:t>
      </w:r>
      <w:r w:rsidR="00DF57C3">
        <w:rPr>
          <w:rFonts w:ascii="SkolaSans" w:hAnsi="SkolaSans" w:cs="TimesNewRomanPS-BoldMT"/>
          <w:bCs/>
          <w:sz w:val="22"/>
          <w:szCs w:val="22"/>
          <w:lang w:val="mk-MK"/>
        </w:rPr>
        <w:t xml:space="preserve">, </w:t>
      </w:r>
      <w:r w:rsidR="000D2B85">
        <w:rPr>
          <w:rFonts w:ascii="SkolaSans" w:hAnsi="SkolaSans" w:cs="TimesNewRomanPS-BoldMT"/>
          <w:bCs/>
          <w:sz w:val="22"/>
          <w:szCs w:val="22"/>
          <w:lang w:val="mk-MK"/>
        </w:rPr>
        <w:t>41/14</w:t>
      </w:r>
      <w:r w:rsidR="00DF57C3">
        <w:rPr>
          <w:rFonts w:ascii="SkolaSans" w:hAnsi="SkolaSans" w:cs="TimesNewRomanPS-BoldMT"/>
          <w:bCs/>
          <w:sz w:val="22"/>
          <w:szCs w:val="22"/>
          <w:lang w:val="mk-MK"/>
        </w:rPr>
        <w:t xml:space="preserve"> и 53/16</w:t>
      </w:r>
      <w:r w:rsidRPr="006D308E">
        <w:rPr>
          <w:rFonts w:ascii="SkolaSans" w:hAnsi="SkolaSans" w:cs="TimesNewRomanPS-BoldMT"/>
          <w:bCs/>
          <w:sz w:val="22"/>
          <w:szCs w:val="22"/>
          <w:lang w:val="mk-MK"/>
        </w:rPr>
        <w:t xml:space="preserve">) на седница одржана на </w:t>
      </w:r>
      <w:r w:rsidRPr="006D308E">
        <w:rPr>
          <w:rFonts w:ascii="SkolaSans" w:hAnsi="SkolaSans" w:cs="TimesNewRomanPS-BoldMT"/>
          <w:bCs/>
          <w:sz w:val="22"/>
          <w:szCs w:val="22"/>
          <w:lang w:val="mk-MK"/>
        </w:rPr>
        <w:t xml:space="preserve">ден </w:t>
      </w:r>
      <w:r w:rsidR="006448BF">
        <w:rPr>
          <w:rFonts w:ascii="SkolaSans" w:hAnsi="SkolaSans" w:cs="TimesNewRomanPS-BoldMT"/>
          <w:bCs/>
          <w:sz w:val="22"/>
          <w:szCs w:val="22"/>
        </w:rPr>
        <w:t>31.08.2016</w:t>
      </w:r>
      <w:r w:rsidR="006448BF" w:rsidRPr="006D308E">
        <w:rPr>
          <w:rFonts w:ascii="SkolaSans" w:hAnsi="SkolaSans" w:cs="TimesNewRomanPS-BoldMT"/>
          <w:bCs/>
          <w:sz w:val="22"/>
          <w:szCs w:val="22"/>
        </w:rPr>
        <w:t xml:space="preserve"> </w:t>
      </w:r>
      <w:r w:rsidRPr="006D308E">
        <w:rPr>
          <w:rFonts w:ascii="SkolaSans" w:hAnsi="SkolaSans" w:cs="TimesNewRomanPS-BoldMT"/>
          <w:bCs/>
          <w:sz w:val="22"/>
          <w:szCs w:val="22"/>
          <w:lang w:val="mk-MK"/>
        </w:rPr>
        <w:t xml:space="preserve">година </w:t>
      </w:r>
      <w:r w:rsidRPr="006D308E">
        <w:rPr>
          <w:rFonts w:ascii="SkolaSans" w:hAnsi="SkolaSans" w:cs="TimesNewRomanPS-BoldMT"/>
          <w:bCs/>
          <w:sz w:val="22"/>
          <w:szCs w:val="22"/>
          <w:lang w:val="mk-MK"/>
        </w:rPr>
        <w:t>ги донесе следните</w:t>
      </w:r>
    </w:p>
    <w:p w:rsidR="00B5619D" w:rsidRPr="006D308E" w:rsidRDefault="00B5619D" w:rsidP="00A80503">
      <w:pPr>
        <w:spacing w:after="120"/>
        <w:jc w:val="both"/>
        <w:rPr>
          <w:rFonts w:ascii="SkolaSans" w:hAnsi="SkolaSans" w:cs="TimesNewRomanPS-BoldMT"/>
          <w:bCs/>
          <w:sz w:val="22"/>
          <w:szCs w:val="22"/>
          <w:lang w:val="mk-MK"/>
        </w:rPr>
      </w:pPr>
    </w:p>
    <w:p w:rsidR="00B5619D" w:rsidRPr="00E81F86" w:rsidRDefault="000968EE" w:rsidP="00A80503">
      <w:pPr>
        <w:shd w:val="clear" w:color="auto" w:fill="FFFFFF"/>
        <w:spacing w:after="120"/>
        <w:jc w:val="center"/>
        <w:rPr>
          <w:rFonts w:ascii="SkolaSans" w:hAnsi="SkolaSans"/>
          <w:b/>
          <w:bCs/>
          <w:sz w:val="22"/>
          <w:szCs w:val="22"/>
        </w:rPr>
      </w:pPr>
      <w:r w:rsidRPr="00E81F86">
        <w:rPr>
          <w:rFonts w:ascii="SkolaSans" w:hAnsi="SkolaSans"/>
          <w:b/>
          <w:bCs/>
          <w:sz w:val="22"/>
          <w:szCs w:val="22"/>
          <w:lang w:val="mk-MK"/>
        </w:rPr>
        <w:t>Н</w:t>
      </w:r>
      <w:r w:rsidR="00E50008" w:rsidRPr="00E81F86">
        <w:rPr>
          <w:rFonts w:ascii="SkolaSans" w:hAnsi="SkolaSans"/>
          <w:b/>
          <w:bCs/>
          <w:sz w:val="22"/>
          <w:szCs w:val="22"/>
          <w:lang w:val="mk-MK"/>
        </w:rPr>
        <w:t>асоки за  у</w:t>
      </w:r>
      <w:r w:rsidR="000A040C" w:rsidRPr="00E81F86">
        <w:rPr>
          <w:rFonts w:ascii="SkolaSans" w:hAnsi="SkolaSans"/>
          <w:b/>
          <w:bCs/>
          <w:sz w:val="22"/>
          <w:szCs w:val="22"/>
          <w:lang w:val="mk-MK"/>
        </w:rPr>
        <w:t xml:space="preserve">врдување на случаите во кои </w:t>
      </w:r>
      <w:r w:rsidRPr="00E81F86">
        <w:rPr>
          <w:rFonts w:ascii="SkolaSans" w:hAnsi="SkolaSans"/>
          <w:b/>
          <w:bCs/>
          <w:sz w:val="22"/>
          <w:szCs w:val="22"/>
          <w:lang w:val="mk-MK"/>
        </w:rPr>
        <w:t xml:space="preserve"> </w:t>
      </w:r>
      <w:r w:rsidR="00E50008" w:rsidRPr="00E81F86">
        <w:rPr>
          <w:rFonts w:ascii="SkolaSans" w:hAnsi="SkolaSans"/>
          <w:b/>
          <w:bCs/>
          <w:sz w:val="22"/>
          <w:szCs w:val="22"/>
          <w:lang w:val="mk-MK"/>
        </w:rPr>
        <w:t xml:space="preserve">при оценка на концентрациите </w:t>
      </w:r>
      <w:r w:rsidR="000A040C" w:rsidRPr="00E81F86">
        <w:rPr>
          <w:rFonts w:ascii="SkolaSans" w:hAnsi="SkolaSans"/>
          <w:b/>
          <w:bCs/>
          <w:sz w:val="22"/>
          <w:szCs w:val="22"/>
          <w:lang w:val="mk-MK"/>
        </w:rPr>
        <w:t xml:space="preserve">Комисијата за заштита на конуренцијата </w:t>
      </w:r>
      <w:r w:rsidR="00974B0F" w:rsidRPr="00E81F86">
        <w:rPr>
          <w:rFonts w:ascii="SkolaSans" w:hAnsi="SkolaSans"/>
          <w:b/>
          <w:bCs/>
          <w:sz w:val="22"/>
          <w:szCs w:val="22"/>
          <w:lang w:val="mk-MK"/>
        </w:rPr>
        <w:t xml:space="preserve"> </w:t>
      </w:r>
      <w:r w:rsidR="00D46C3C" w:rsidRPr="00E81F86">
        <w:rPr>
          <w:rFonts w:ascii="SkolaSans" w:hAnsi="SkolaSans"/>
          <w:b/>
          <w:bCs/>
          <w:sz w:val="22"/>
          <w:szCs w:val="22"/>
          <w:lang w:val="mk-MK"/>
        </w:rPr>
        <w:t>вообичаено</w:t>
      </w:r>
      <w:r w:rsidR="00974B0F" w:rsidRPr="00E81F86">
        <w:rPr>
          <w:rFonts w:ascii="SkolaSans" w:hAnsi="SkolaSans"/>
          <w:b/>
          <w:bCs/>
          <w:sz w:val="22"/>
          <w:szCs w:val="22"/>
          <w:lang w:val="mk-MK"/>
        </w:rPr>
        <w:t xml:space="preserve"> ќе утврди дека истите се во согласност со Законот за заштита на конкуренцијата</w:t>
      </w:r>
      <w:r w:rsidR="000A040C" w:rsidRPr="00E81F86">
        <w:rPr>
          <w:rFonts w:ascii="SkolaSans" w:hAnsi="SkolaSans"/>
          <w:b/>
          <w:bCs/>
          <w:sz w:val="22"/>
          <w:szCs w:val="22"/>
          <w:lang w:val="mk-MK"/>
        </w:rPr>
        <w:t xml:space="preserve"> </w:t>
      </w:r>
      <w:r w:rsidR="00546E6F" w:rsidRPr="00E81F86">
        <w:rPr>
          <w:rFonts w:ascii="SkolaSans" w:hAnsi="SkolaSans"/>
          <w:b/>
          <w:bCs/>
          <w:sz w:val="22"/>
          <w:szCs w:val="22"/>
        </w:rPr>
        <w:t>*</w:t>
      </w:r>
      <w:r w:rsidR="00546E6F" w:rsidRPr="00E81F86">
        <w:rPr>
          <w:rStyle w:val="FootnoteReference"/>
          <w:rFonts w:ascii="SkolaSans" w:hAnsi="SkolaSans"/>
          <w:b/>
          <w:bCs/>
          <w:sz w:val="22"/>
          <w:szCs w:val="22"/>
          <w:lang w:val="mk-MK"/>
        </w:rPr>
        <w:footnoteReference w:id="2"/>
      </w:r>
    </w:p>
    <w:p w:rsidR="00B5619D" w:rsidRPr="00E81F86" w:rsidRDefault="00B5619D" w:rsidP="00A80503">
      <w:pPr>
        <w:shd w:val="clear" w:color="auto" w:fill="FFFFFF"/>
        <w:spacing w:after="120"/>
        <w:jc w:val="center"/>
        <w:rPr>
          <w:rFonts w:ascii="SkolaSans" w:hAnsi="SkolaSans"/>
          <w:sz w:val="22"/>
          <w:szCs w:val="22"/>
          <w:lang w:val="mk-MK"/>
        </w:rPr>
      </w:pPr>
    </w:p>
    <w:p w:rsidR="00D00D5A" w:rsidRPr="00E81F86" w:rsidRDefault="000B4A54" w:rsidP="00A80503">
      <w:pPr>
        <w:shd w:val="clear" w:color="auto" w:fill="FFFFFF"/>
        <w:spacing w:after="120"/>
        <w:jc w:val="center"/>
        <w:rPr>
          <w:rFonts w:ascii="SkolaSans" w:hAnsi="SkolaSans"/>
          <w:sz w:val="22"/>
          <w:szCs w:val="22"/>
        </w:rPr>
      </w:pPr>
      <w:r w:rsidRPr="00E81F86">
        <w:rPr>
          <w:rFonts w:ascii="SkolaSans" w:hAnsi="SkolaSans"/>
          <w:b/>
          <w:sz w:val="22"/>
          <w:szCs w:val="22"/>
          <w:lang w:val="mk-MK"/>
        </w:rPr>
        <w:t>I.</w:t>
      </w:r>
      <w:r w:rsidRPr="00E81F86">
        <w:rPr>
          <w:rFonts w:ascii="SkolaSans" w:hAnsi="SkolaSans"/>
          <w:sz w:val="22"/>
          <w:szCs w:val="22"/>
        </w:rPr>
        <w:t xml:space="preserve"> </w:t>
      </w:r>
      <w:r w:rsidRPr="00E81F86">
        <w:rPr>
          <w:rFonts w:ascii="SkolaSans" w:hAnsi="SkolaSans"/>
          <w:b/>
          <w:bCs/>
          <w:sz w:val="22"/>
          <w:szCs w:val="22"/>
          <w:lang w:val="mk-MK"/>
        </w:rPr>
        <w:t>ВОВЕД</w:t>
      </w:r>
    </w:p>
    <w:p w:rsidR="00061637" w:rsidRPr="00E81F86" w:rsidRDefault="00E32A87" w:rsidP="00A80503">
      <w:pPr>
        <w:numPr>
          <w:ilvl w:val="0"/>
          <w:numId w:val="1"/>
        </w:numPr>
        <w:shd w:val="clear" w:color="auto" w:fill="FFFFFF"/>
        <w:tabs>
          <w:tab w:val="left" w:pos="403"/>
        </w:tabs>
        <w:spacing w:after="120"/>
        <w:ind w:left="403" w:hanging="240"/>
        <w:jc w:val="both"/>
        <w:rPr>
          <w:rFonts w:ascii="SkolaSans" w:hAnsi="SkolaSans"/>
          <w:spacing w:val="-4"/>
          <w:sz w:val="22"/>
          <w:szCs w:val="22"/>
        </w:rPr>
      </w:pPr>
      <w:r w:rsidRPr="00E81F86">
        <w:rPr>
          <w:rFonts w:ascii="SkolaSans" w:hAnsi="SkolaSans"/>
          <w:sz w:val="22"/>
          <w:szCs w:val="22"/>
          <w:lang w:val="mk-MK"/>
        </w:rPr>
        <w:t>Во о</w:t>
      </w:r>
      <w:r w:rsidR="008A3C51" w:rsidRPr="00E81F86">
        <w:rPr>
          <w:rFonts w:ascii="SkolaSans" w:hAnsi="SkolaSans"/>
          <w:sz w:val="22"/>
          <w:szCs w:val="22"/>
          <w:lang w:val="mk-MK"/>
        </w:rPr>
        <w:t>в</w:t>
      </w:r>
      <w:r w:rsidRPr="00E81F86">
        <w:rPr>
          <w:rFonts w:ascii="SkolaSans" w:hAnsi="SkolaSans"/>
          <w:sz w:val="22"/>
          <w:szCs w:val="22"/>
          <w:lang w:val="mk-MK"/>
        </w:rPr>
        <w:t xml:space="preserve">ие </w:t>
      </w:r>
      <w:r w:rsidR="000968EE" w:rsidRPr="00E81F86">
        <w:rPr>
          <w:rFonts w:ascii="SkolaSans" w:hAnsi="SkolaSans"/>
          <w:sz w:val="22"/>
          <w:szCs w:val="22"/>
          <w:lang w:val="mk-MK"/>
        </w:rPr>
        <w:t>Н</w:t>
      </w:r>
      <w:r w:rsidRPr="00E81F86">
        <w:rPr>
          <w:rFonts w:ascii="SkolaSans" w:hAnsi="SkolaSans"/>
          <w:sz w:val="22"/>
          <w:szCs w:val="22"/>
          <w:lang w:val="mk-MK"/>
        </w:rPr>
        <w:t xml:space="preserve">асоки се утврдуваат случаите во кои </w:t>
      </w:r>
      <w:r w:rsidR="008A3C51" w:rsidRPr="00E81F86">
        <w:rPr>
          <w:rFonts w:ascii="SkolaSans" w:hAnsi="SkolaSans"/>
          <w:sz w:val="22"/>
          <w:szCs w:val="22"/>
          <w:lang w:val="mk-MK"/>
        </w:rPr>
        <w:t xml:space="preserve">Комисијата </w:t>
      </w:r>
      <w:r w:rsidRPr="00E81F86">
        <w:rPr>
          <w:rFonts w:ascii="SkolaSans" w:hAnsi="SkolaSans"/>
          <w:sz w:val="22"/>
          <w:szCs w:val="22"/>
          <w:lang w:val="mk-MK"/>
        </w:rPr>
        <w:t xml:space="preserve">за заштита на конкуренцијата (во понатамошниот текст: Комисија) </w:t>
      </w:r>
      <w:r w:rsidR="00D46C3C" w:rsidRPr="00E81F86">
        <w:rPr>
          <w:rFonts w:ascii="SkolaSans" w:hAnsi="SkolaSans"/>
          <w:sz w:val="22"/>
          <w:szCs w:val="22"/>
          <w:lang w:val="mk-MK"/>
        </w:rPr>
        <w:t xml:space="preserve">вообичаено </w:t>
      </w:r>
      <w:r w:rsidR="00974B0F" w:rsidRPr="00E81F86">
        <w:rPr>
          <w:rFonts w:ascii="SkolaSans" w:hAnsi="SkolaSans"/>
          <w:sz w:val="22"/>
          <w:szCs w:val="22"/>
          <w:lang w:val="mk-MK"/>
        </w:rPr>
        <w:t xml:space="preserve">ќе утврди дека </w:t>
      </w:r>
      <w:r w:rsidR="000B4A54" w:rsidRPr="00E81F86">
        <w:rPr>
          <w:rFonts w:ascii="SkolaSans" w:hAnsi="SkolaSans"/>
          <w:sz w:val="22"/>
          <w:szCs w:val="22"/>
          <w:lang w:val="mk-MK"/>
        </w:rPr>
        <w:t>одредени концентрации за кои е поднесено известување нема да имаат за последица значително нарушување на ефективната конкуренција на пазарот или негов суштински дел и истите се во согласност со одредбите од Законот за заштита на конкуренцијата.</w:t>
      </w:r>
    </w:p>
    <w:p w:rsidR="00D00D5A" w:rsidRPr="006D308E" w:rsidRDefault="000B4A54" w:rsidP="00A80503">
      <w:pPr>
        <w:numPr>
          <w:ilvl w:val="0"/>
          <w:numId w:val="1"/>
        </w:numPr>
        <w:shd w:val="clear" w:color="auto" w:fill="FFFFFF"/>
        <w:tabs>
          <w:tab w:val="left" w:pos="403"/>
        </w:tabs>
        <w:spacing w:after="120"/>
        <w:ind w:left="403" w:hanging="240"/>
        <w:jc w:val="both"/>
        <w:rPr>
          <w:rFonts w:ascii="SkolaSans" w:hAnsi="SkolaSans"/>
          <w:color w:val="1A171B"/>
          <w:spacing w:val="-4"/>
          <w:sz w:val="22"/>
          <w:szCs w:val="22"/>
        </w:rPr>
      </w:pPr>
      <w:r w:rsidRPr="006D308E">
        <w:rPr>
          <w:rFonts w:ascii="SkolaSans" w:hAnsi="SkolaSans"/>
          <w:color w:val="000000" w:themeColor="text1"/>
          <w:sz w:val="22"/>
          <w:szCs w:val="22"/>
          <w:lang w:val="mk-MK"/>
        </w:rPr>
        <w:t>Искуството на Комисијата стекнато при примена на Законот за заштита на конкуренцијата</w:t>
      </w:r>
      <w:r w:rsidR="00DF3599" w:rsidRPr="006D308E">
        <w:rPr>
          <w:rFonts w:ascii="SkolaSans" w:hAnsi="SkolaSans"/>
          <w:color w:val="000000" w:themeColor="text1"/>
          <w:sz w:val="22"/>
          <w:szCs w:val="22"/>
          <w:lang w:val="mk-MK"/>
        </w:rPr>
        <w:t xml:space="preserve"> </w:t>
      </w:r>
      <w:r w:rsidRPr="006D308E">
        <w:rPr>
          <w:rFonts w:ascii="SkolaSans" w:hAnsi="SkolaSans" w:cs="TimesNewRomanPS-BoldMT"/>
          <w:bCs/>
          <w:color w:val="000000" w:themeColor="text1"/>
          <w:sz w:val="22"/>
          <w:szCs w:val="22"/>
          <w:lang w:val="mk-MK"/>
        </w:rPr>
        <w:t xml:space="preserve">(„Службен весник на Република Македонија“ бр. 04/05, 70/06 и 22/07) </w:t>
      </w:r>
      <w:r w:rsidR="00DF3599" w:rsidRPr="006D308E">
        <w:rPr>
          <w:rFonts w:ascii="SkolaSans" w:hAnsi="SkolaSans" w:cs="TimesNewRomanPS-BoldMT"/>
          <w:bCs/>
          <w:color w:val="000000" w:themeColor="text1"/>
          <w:sz w:val="22"/>
          <w:szCs w:val="22"/>
          <w:lang w:val="mk-MK"/>
        </w:rPr>
        <w:t xml:space="preserve">како и на </w:t>
      </w:r>
      <w:r w:rsidRPr="006D308E">
        <w:rPr>
          <w:rFonts w:ascii="SkolaSans" w:hAnsi="SkolaSans"/>
          <w:color w:val="000000" w:themeColor="text1"/>
          <w:sz w:val="22"/>
          <w:szCs w:val="22"/>
          <w:lang w:val="mk-MK"/>
        </w:rPr>
        <w:t xml:space="preserve">Законот за заштита на конкуренцијата </w:t>
      </w:r>
      <w:r w:rsidRPr="006D308E">
        <w:rPr>
          <w:rFonts w:ascii="SkolaSans" w:hAnsi="SkolaSans" w:cs="TimesNewRomanPS-BoldMT"/>
          <w:bCs/>
          <w:color w:val="000000" w:themeColor="text1"/>
          <w:sz w:val="22"/>
          <w:szCs w:val="22"/>
          <w:lang w:val="mk-MK"/>
        </w:rPr>
        <w:t>(„Службен весник на Ре</w:t>
      </w:r>
      <w:r w:rsidR="00DF57C3">
        <w:rPr>
          <w:rFonts w:ascii="SkolaSans" w:hAnsi="SkolaSans" w:cs="TimesNewRomanPS-BoldMT"/>
          <w:bCs/>
          <w:color w:val="000000" w:themeColor="text1"/>
          <w:sz w:val="22"/>
          <w:szCs w:val="22"/>
          <w:lang w:val="mk-MK"/>
        </w:rPr>
        <w:t>публика Македонија“ бр. 145/10,</w:t>
      </w:r>
      <w:r w:rsidRPr="006D308E">
        <w:rPr>
          <w:rFonts w:ascii="SkolaSans" w:hAnsi="SkolaSans" w:cs="TimesNewRomanPS-BoldMT"/>
          <w:bCs/>
          <w:color w:val="000000" w:themeColor="text1"/>
          <w:sz w:val="22"/>
          <w:szCs w:val="22"/>
          <w:lang w:val="mk-MK"/>
        </w:rPr>
        <w:t xml:space="preserve"> 136/11</w:t>
      </w:r>
      <w:r w:rsidR="00DF57C3">
        <w:rPr>
          <w:rFonts w:ascii="SkolaSans" w:hAnsi="SkolaSans" w:cs="TimesNewRomanPS-BoldMT"/>
          <w:bCs/>
          <w:color w:val="000000" w:themeColor="text1"/>
          <w:sz w:val="22"/>
          <w:szCs w:val="22"/>
          <w:lang w:val="mk-MK"/>
        </w:rPr>
        <w:t>, 41/14 и 53/16</w:t>
      </w:r>
      <w:r w:rsidRPr="006D308E">
        <w:rPr>
          <w:rFonts w:ascii="SkolaSans" w:hAnsi="SkolaSans" w:cs="TimesNewRomanPS-BoldMT"/>
          <w:bCs/>
          <w:color w:val="000000" w:themeColor="text1"/>
          <w:sz w:val="22"/>
          <w:szCs w:val="22"/>
          <w:lang w:val="mk-MK"/>
        </w:rPr>
        <w:t xml:space="preserve">) </w:t>
      </w:r>
      <w:r w:rsidRPr="006D308E">
        <w:rPr>
          <w:rFonts w:ascii="SkolaSans" w:hAnsi="SkolaSans"/>
          <w:color w:val="000000" w:themeColor="text1"/>
          <w:sz w:val="22"/>
          <w:szCs w:val="22"/>
          <w:lang w:val="mk-MK"/>
        </w:rPr>
        <w:t>покажува дека одредени категории на концентрации за кои е поднесено известување обично</w:t>
      </w:r>
      <w:r w:rsidRPr="006D308E">
        <w:rPr>
          <w:rFonts w:ascii="SkolaSans" w:hAnsi="SkolaSans"/>
          <w:sz w:val="22"/>
          <w:szCs w:val="22"/>
          <w:lang w:val="mk-MK"/>
        </w:rPr>
        <w:t xml:space="preserve"> се дозволени без притоа да има значајни сомневања дека истите се во согласност со одредбите од Законот за заштита на конкуренцијата (во понатамошниот текст: Закон), доколку не постоеле специфични околности.</w:t>
      </w:r>
    </w:p>
    <w:p w:rsidR="00D00D5A" w:rsidRPr="00E81F86" w:rsidRDefault="00CD7E57" w:rsidP="00A80503">
      <w:pPr>
        <w:numPr>
          <w:ilvl w:val="0"/>
          <w:numId w:val="1"/>
        </w:numPr>
        <w:shd w:val="clear" w:color="auto" w:fill="FFFFFF"/>
        <w:tabs>
          <w:tab w:val="left" w:pos="403"/>
        </w:tabs>
        <w:spacing w:after="120"/>
        <w:ind w:left="403" w:hanging="240"/>
        <w:jc w:val="both"/>
        <w:rPr>
          <w:rFonts w:ascii="SkolaSans" w:hAnsi="SkolaSans"/>
          <w:color w:val="1A171B"/>
          <w:spacing w:val="-4"/>
          <w:sz w:val="22"/>
          <w:szCs w:val="22"/>
        </w:rPr>
      </w:pPr>
      <w:r w:rsidRPr="00E81F86">
        <w:rPr>
          <w:rFonts w:ascii="SkolaSans" w:hAnsi="SkolaSans"/>
          <w:sz w:val="22"/>
          <w:szCs w:val="22"/>
          <w:lang w:val="mk-MK"/>
        </w:rPr>
        <w:t>Целта на ов</w:t>
      </w:r>
      <w:r w:rsidR="00061637" w:rsidRPr="00E81F86">
        <w:rPr>
          <w:rFonts w:ascii="SkolaSans" w:hAnsi="SkolaSans"/>
          <w:sz w:val="22"/>
          <w:szCs w:val="22"/>
          <w:lang w:val="mk-MK"/>
        </w:rPr>
        <w:t xml:space="preserve">ие </w:t>
      </w:r>
      <w:r w:rsidR="002A51A2" w:rsidRPr="00E81F86">
        <w:rPr>
          <w:rFonts w:ascii="SkolaSans" w:hAnsi="SkolaSans"/>
          <w:sz w:val="22"/>
          <w:szCs w:val="22"/>
          <w:lang w:val="mk-MK"/>
        </w:rPr>
        <w:t>Н</w:t>
      </w:r>
      <w:r w:rsidR="00061637" w:rsidRPr="00E81F86">
        <w:rPr>
          <w:rFonts w:ascii="SkolaSans" w:hAnsi="SkolaSans"/>
          <w:sz w:val="22"/>
          <w:szCs w:val="22"/>
          <w:lang w:val="mk-MK"/>
        </w:rPr>
        <w:t xml:space="preserve">асоки е </w:t>
      </w:r>
      <w:r w:rsidR="0043573B" w:rsidRPr="00E81F86">
        <w:rPr>
          <w:rFonts w:ascii="SkolaSans" w:hAnsi="SkolaSans"/>
          <w:sz w:val="22"/>
          <w:szCs w:val="22"/>
          <w:lang w:val="mk-MK"/>
        </w:rPr>
        <w:t>поблиск</w:t>
      </w:r>
      <w:r w:rsidR="00800742" w:rsidRPr="00E81F86">
        <w:rPr>
          <w:rFonts w:ascii="SkolaSans" w:hAnsi="SkolaSans"/>
          <w:sz w:val="22"/>
          <w:szCs w:val="22"/>
          <w:lang w:val="mk-MK"/>
        </w:rPr>
        <w:t xml:space="preserve">о </w:t>
      </w:r>
      <w:r w:rsidR="0043573B" w:rsidRPr="00E81F86">
        <w:rPr>
          <w:rFonts w:ascii="SkolaSans" w:hAnsi="SkolaSans"/>
          <w:sz w:val="22"/>
          <w:szCs w:val="22"/>
          <w:lang w:val="mk-MK"/>
        </w:rPr>
        <w:t>утврд</w:t>
      </w:r>
      <w:r w:rsidR="00800742" w:rsidRPr="00E81F86">
        <w:rPr>
          <w:rFonts w:ascii="SkolaSans" w:hAnsi="SkolaSans"/>
          <w:sz w:val="22"/>
          <w:szCs w:val="22"/>
          <w:lang w:val="mk-MK"/>
        </w:rPr>
        <w:t xml:space="preserve">ување на </w:t>
      </w:r>
      <w:r w:rsidR="0043573B" w:rsidRPr="00E81F86">
        <w:rPr>
          <w:rFonts w:ascii="SkolaSans" w:hAnsi="SkolaSans"/>
          <w:sz w:val="22"/>
          <w:szCs w:val="22"/>
          <w:lang w:val="mk-MK"/>
        </w:rPr>
        <w:t xml:space="preserve">условите кои треба да бидат исполнети </w:t>
      </w:r>
      <w:r w:rsidR="00471838" w:rsidRPr="00E81F86">
        <w:rPr>
          <w:rFonts w:ascii="SkolaSans" w:hAnsi="SkolaSans"/>
          <w:sz w:val="22"/>
          <w:szCs w:val="22"/>
          <w:lang w:val="mk-MK"/>
        </w:rPr>
        <w:t xml:space="preserve">при оцена на пријавени концентрации </w:t>
      </w:r>
      <w:r w:rsidR="00974B0F" w:rsidRPr="00E81F86">
        <w:rPr>
          <w:rFonts w:ascii="SkolaSans" w:hAnsi="SkolaSans"/>
          <w:sz w:val="22"/>
          <w:szCs w:val="22"/>
          <w:lang w:val="mk-MK"/>
        </w:rPr>
        <w:t>за да</w:t>
      </w:r>
      <w:r w:rsidR="00331A7A" w:rsidRPr="00E81F86">
        <w:rPr>
          <w:rFonts w:ascii="SkolaSans" w:hAnsi="SkolaSans"/>
          <w:sz w:val="22"/>
          <w:szCs w:val="22"/>
          <w:lang w:val="mk-MK"/>
        </w:rPr>
        <w:t xml:space="preserve"> </w:t>
      </w:r>
      <w:r w:rsidRPr="00E81F86">
        <w:rPr>
          <w:rFonts w:ascii="SkolaSans" w:hAnsi="SkolaSans"/>
          <w:sz w:val="22"/>
          <w:szCs w:val="22"/>
          <w:lang w:val="mk-MK"/>
        </w:rPr>
        <w:t>Комисијата</w:t>
      </w:r>
      <w:r w:rsidR="00471838" w:rsidRPr="00E81F86">
        <w:rPr>
          <w:rFonts w:ascii="SkolaSans" w:hAnsi="SkolaSans"/>
          <w:sz w:val="22"/>
          <w:szCs w:val="22"/>
          <w:lang w:val="mk-MK"/>
        </w:rPr>
        <w:t>,</w:t>
      </w:r>
      <w:r w:rsidRPr="00E81F86">
        <w:rPr>
          <w:rFonts w:ascii="SkolaSans" w:hAnsi="SkolaSans"/>
          <w:sz w:val="22"/>
          <w:szCs w:val="22"/>
          <w:lang w:val="mk-MK"/>
        </w:rPr>
        <w:t xml:space="preserve"> </w:t>
      </w:r>
      <w:r w:rsidR="00B676E7" w:rsidRPr="00E81F86">
        <w:rPr>
          <w:rFonts w:ascii="SkolaSans" w:hAnsi="SkolaSans"/>
          <w:sz w:val="22"/>
          <w:szCs w:val="22"/>
          <w:lang w:val="mk-MK"/>
        </w:rPr>
        <w:t>во</w:t>
      </w:r>
      <w:r w:rsidRPr="00E81F86">
        <w:rPr>
          <w:rFonts w:ascii="SkolaSans" w:hAnsi="SkolaSans"/>
          <w:sz w:val="22"/>
          <w:szCs w:val="22"/>
          <w:lang w:val="mk-MK"/>
        </w:rPr>
        <w:t>обич</w:t>
      </w:r>
      <w:r w:rsidR="00B676E7" w:rsidRPr="00E81F86">
        <w:rPr>
          <w:rFonts w:ascii="SkolaSans" w:hAnsi="SkolaSans"/>
          <w:sz w:val="22"/>
          <w:szCs w:val="22"/>
          <w:lang w:val="mk-MK"/>
        </w:rPr>
        <w:t>ае</w:t>
      </w:r>
      <w:r w:rsidRPr="00E81F86">
        <w:rPr>
          <w:rFonts w:ascii="SkolaSans" w:hAnsi="SkolaSans"/>
          <w:sz w:val="22"/>
          <w:szCs w:val="22"/>
          <w:lang w:val="mk-MK"/>
        </w:rPr>
        <w:t xml:space="preserve">но </w:t>
      </w:r>
      <w:r w:rsidR="00974B0F" w:rsidRPr="00E81F86">
        <w:rPr>
          <w:rFonts w:ascii="SkolaSans" w:hAnsi="SkolaSans"/>
          <w:sz w:val="22"/>
          <w:szCs w:val="22"/>
          <w:lang w:val="mk-MK"/>
        </w:rPr>
        <w:t xml:space="preserve">донесе </w:t>
      </w:r>
      <w:r w:rsidR="00F53FE9" w:rsidRPr="00E81F86">
        <w:rPr>
          <w:rFonts w:ascii="SkolaSans" w:hAnsi="SkolaSans"/>
          <w:sz w:val="22"/>
          <w:szCs w:val="22"/>
          <w:lang w:val="mk-MK"/>
        </w:rPr>
        <w:t>решение</w:t>
      </w:r>
      <w:r w:rsidRPr="00E81F86">
        <w:rPr>
          <w:rFonts w:ascii="SkolaSans" w:hAnsi="SkolaSans"/>
          <w:sz w:val="22"/>
          <w:szCs w:val="22"/>
          <w:lang w:val="mk-MK"/>
        </w:rPr>
        <w:t xml:space="preserve"> </w:t>
      </w:r>
      <w:r w:rsidR="00800742" w:rsidRPr="00E81F86">
        <w:rPr>
          <w:rFonts w:ascii="SkolaSans" w:hAnsi="SkolaSans"/>
          <w:sz w:val="22"/>
          <w:szCs w:val="22"/>
          <w:lang w:val="mk-MK"/>
        </w:rPr>
        <w:t xml:space="preserve">со кое утврдува дека </w:t>
      </w:r>
      <w:r w:rsidR="00974B0F" w:rsidRPr="00E81F86">
        <w:rPr>
          <w:rFonts w:ascii="SkolaSans" w:hAnsi="SkolaSans"/>
          <w:sz w:val="22"/>
          <w:szCs w:val="22"/>
          <w:lang w:val="mk-MK"/>
        </w:rPr>
        <w:t xml:space="preserve">пријавената </w:t>
      </w:r>
      <w:r w:rsidRPr="00E81F86">
        <w:rPr>
          <w:rFonts w:ascii="SkolaSans" w:hAnsi="SkolaSans"/>
          <w:sz w:val="22"/>
          <w:szCs w:val="22"/>
          <w:lang w:val="mk-MK"/>
        </w:rPr>
        <w:t>конц</w:t>
      </w:r>
      <w:r w:rsidR="00237940" w:rsidRPr="00E81F86">
        <w:rPr>
          <w:rFonts w:ascii="SkolaSans" w:hAnsi="SkolaSans"/>
          <w:sz w:val="22"/>
          <w:szCs w:val="22"/>
          <w:lang w:val="mk-MK"/>
        </w:rPr>
        <w:t>ентрација</w:t>
      </w:r>
      <w:r w:rsidRPr="00E81F86">
        <w:rPr>
          <w:rFonts w:ascii="SkolaSans" w:hAnsi="SkolaSans"/>
          <w:sz w:val="22"/>
          <w:szCs w:val="22"/>
          <w:lang w:val="mk-MK"/>
        </w:rPr>
        <w:t xml:space="preserve"> </w:t>
      </w:r>
      <w:r w:rsidR="00237940" w:rsidRPr="00E81F86">
        <w:rPr>
          <w:rFonts w:ascii="SkolaSans" w:hAnsi="SkolaSans"/>
          <w:sz w:val="22"/>
          <w:szCs w:val="22"/>
          <w:lang w:val="mk-MK"/>
        </w:rPr>
        <w:t>е</w:t>
      </w:r>
      <w:r w:rsidRPr="00E81F86">
        <w:rPr>
          <w:rFonts w:ascii="SkolaSans" w:hAnsi="SkolaSans"/>
          <w:sz w:val="22"/>
          <w:szCs w:val="22"/>
          <w:lang w:val="mk-MK"/>
        </w:rPr>
        <w:t xml:space="preserve"> </w:t>
      </w:r>
      <w:r w:rsidR="00F53FE9" w:rsidRPr="00E81F86">
        <w:rPr>
          <w:rFonts w:ascii="SkolaSans" w:hAnsi="SkolaSans"/>
          <w:sz w:val="22"/>
          <w:szCs w:val="22"/>
          <w:lang w:val="mk-MK"/>
        </w:rPr>
        <w:t>во согласност со одредбите од Законот</w:t>
      </w:r>
      <w:r w:rsidR="00471838" w:rsidRPr="00E81F86">
        <w:rPr>
          <w:rFonts w:ascii="SkolaSans" w:hAnsi="SkolaSans"/>
          <w:sz w:val="22"/>
          <w:szCs w:val="22"/>
          <w:lang w:val="mk-MK"/>
        </w:rPr>
        <w:t>.</w:t>
      </w:r>
      <w:r w:rsidR="00D00D5A" w:rsidRPr="00E81F86">
        <w:rPr>
          <w:rFonts w:ascii="SkolaSans" w:hAnsi="SkolaSans"/>
          <w:color w:val="1A171B"/>
          <w:spacing w:val="-1"/>
          <w:sz w:val="22"/>
          <w:szCs w:val="22"/>
        </w:rPr>
        <w:t xml:space="preserve"> </w:t>
      </w:r>
      <w:r w:rsidR="00471838" w:rsidRPr="00E81F86">
        <w:rPr>
          <w:rFonts w:ascii="SkolaSans" w:hAnsi="SkolaSans"/>
          <w:color w:val="1A171B"/>
          <w:spacing w:val="-1"/>
          <w:sz w:val="22"/>
          <w:szCs w:val="22"/>
          <w:lang w:val="mk-MK"/>
        </w:rPr>
        <w:t xml:space="preserve">Доколку </w:t>
      </w:r>
      <w:r w:rsidR="00964C2C" w:rsidRPr="00E81F86">
        <w:rPr>
          <w:rFonts w:ascii="SkolaSans" w:hAnsi="SkolaSans"/>
          <w:sz w:val="22"/>
          <w:szCs w:val="22"/>
          <w:lang w:val="mk-MK"/>
        </w:rPr>
        <w:t xml:space="preserve">се </w:t>
      </w:r>
      <w:r w:rsidR="00F53FE9" w:rsidRPr="00E81F86">
        <w:rPr>
          <w:rFonts w:ascii="SkolaSans" w:hAnsi="SkolaSans"/>
          <w:sz w:val="22"/>
          <w:szCs w:val="22"/>
          <w:lang w:val="mk-MK"/>
        </w:rPr>
        <w:t>исполнети</w:t>
      </w:r>
      <w:r w:rsidR="0004140F" w:rsidRPr="00E81F86">
        <w:rPr>
          <w:rFonts w:ascii="SkolaSans" w:hAnsi="SkolaSans"/>
          <w:sz w:val="22"/>
          <w:szCs w:val="22"/>
          <w:lang w:val="mk-MK"/>
        </w:rPr>
        <w:t xml:space="preserve"> </w:t>
      </w:r>
      <w:r w:rsidR="004E53C0" w:rsidRPr="00E81F86">
        <w:rPr>
          <w:rFonts w:ascii="SkolaSans" w:hAnsi="SkolaSans"/>
          <w:sz w:val="22"/>
          <w:szCs w:val="22"/>
          <w:lang w:val="mk-MK"/>
        </w:rPr>
        <w:t xml:space="preserve">неопходните </w:t>
      </w:r>
      <w:r w:rsidR="0004140F" w:rsidRPr="00E81F86">
        <w:rPr>
          <w:rFonts w:ascii="SkolaSans" w:hAnsi="SkolaSans"/>
          <w:sz w:val="22"/>
          <w:szCs w:val="22"/>
          <w:lang w:val="mk-MK"/>
        </w:rPr>
        <w:t xml:space="preserve">услови </w:t>
      </w:r>
      <w:r w:rsidR="00964C2C" w:rsidRPr="00E81F86">
        <w:rPr>
          <w:rFonts w:ascii="SkolaSans" w:hAnsi="SkolaSans"/>
          <w:sz w:val="22"/>
          <w:szCs w:val="22"/>
          <w:lang w:val="mk-MK"/>
        </w:rPr>
        <w:t xml:space="preserve">утврдени во </w:t>
      </w:r>
      <w:r w:rsidR="00F10D94" w:rsidRPr="00E81F86">
        <w:rPr>
          <w:rFonts w:ascii="SkolaSans" w:hAnsi="SkolaSans"/>
          <w:sz w:val="22"/>
          <w:szCs w:val="22"/>
          <w:lang w:val="mk-MK"/>
        </w:rPr>
        <w:t xml:space="preserve">точка </w:t>
      </w:r>
      <w:r w:rsidR="00DF57C3" w:rsidRPr="00E81F86">
        <w:rPr>
          <w:rFonts w:ascii="SkolaSans" w:hAnsi="SkolaSans"/>
          <w:sz w:val="22"/>
          <w:szCs w:val="22"/>
          <w:lang w:val="mk-MK"/>
        </w:rPr>
        <w:t>6</w:t>
      </w:r>
      <w:r w:rsidR="00964C2C" w:rsidRPr="00E81F86">
        <w:rPr>
          <w:rFonts w:ascii="SkolaSans" w:hAnsi="SkolaSans"/>
          <w:sz w:val="22"/>
          <w:szCs w:val="22"/>
          <w:lang w:val="mk-MK"/>
        </w:rPr>
        <w:t xml:space="preserve"> </w:t>
      </w:r>
      <w:r w:rsidR="006D308E" w:rsidRPr="00E81F86">
        <w:rPr>
          <w:rFonts w:ascii="SkolaSans" w:hAnsi="SkolaSans"/>
          <w:sz w:val="22"/>
          <w:szCs w:val="22"/>
          <w:lang w:val="mk-MK"/>
        </w:rPr>
        <w:t xml:space="preserve">или </w:t>
      </w:r>
      <w:r w:rsidR="00DF57C3" w:rsidRPr="00E81F86">
        <w:rPr>
          <w:rFonts w:ascii="SkolaSans" w:hAnsi="SkolaSans"/>
          <w:sz w:val="22"/>
          <w:szCs w:val="22"/>
          <w:lang w:val="mk-MK"/>
        </w:rPr>
        <w:t>7</w:t>
      </w:r>
      <w:r w:rsidR="006D308E" w:rsidRPr="00E81F86">
        <w:rPr>
          <w:rFonts w:ascii="SkolaSans" w:hAnsi="SkolaSans"/>
          <w:sz w:val="22"/>
          <w:szCs w:val="22"/>
          <w:lang w:val="mk-MK"/>
        </w:rPr>
        <w:t xml:space="preserve"> </w:t>
      </w:r>
      <w:r w:rsidR="00964C2C" w:rsidRPr="00E81F86">
        <w:rPr>
          <w:rFonts w:ascii="SkolaSans" w:hAnsi="SkolaSans"/>
          <w:sz w:val="22"/>
          <w:szCs w:val="22"/>
          <w:lang w:val="mk-MK"/>
        </w:rPr>
        <w:t>од ов</w:t>
      </w:r>
      <w:r w:rsidR="00F53FE9" w:rsidRPr="00E81F86">
        <w:rPr>
          <w:rFonts w:ascii="SkolaSans" w:hAnsi="SkolaSans"/>
          <w:sz w:val="22"/>
          <w:szCs w:val="22"/>
          <w:lang w:val="mk-MK"/>
        </w:rPr>
        <w:t xml:space="preserve">ие </w:t>
      </w:r>
      <w:r w:rsidR="00471838" w:rsidRPr="00E81F86">
        <w:rPr>
          <w:rFonts w:ascii="SkolaSans" w:hAnsi="SkolaSans"/>
          <w:sz w:val="22"/>
          <w:szCs w:val="22"/>
          <w:lang w:val="mk-MK"/>
        </w:rPr>
        <w:t>Н</w:t>
      </w:r>
      <w:r w:rsidR="00F53FE9" w:rsidRPr="00E81F86">
        <w:rPr>
          <w:rFonts w:ascii="SkolaSans" w:hAnsi="SkolaSans"/>
          <w:sz w:val="22"/>
          <w:szCs w:val="22"/>
          <w:lang w:val="mk-MK"/>
        </w:rPr>
        <w:t>асоки</w:t>
      </w:r>
      <w:r w:rsidR="008C69B9" w:rsidRPr="00E81F86">
        <w:rPr>
          <w:rFonts w:ascii="SkolaSans" w:hAnsi="SkolaSans"/>
          <w:sz w:val="22"/>
          <w:szCs w:val="22"/>
          <w:lang w:val="mk-MK"/>
        </w:rPr>
        <w:t xml:space="preserve"> </w:t>
      </w:r>
      <w:r w:rsidR="0004140F" w:rsidRPr="00E81F86">
        <w:rPr>
          <w:rFonts w:ascii="SkolaSans" w:hAnsi="SkolaSans"/>
          <w:sz w:val="22"/>
          <w:szCs w:val="22"/>
          <w:lang w:val="mk-MK"/>
        </w:rPr>
        <w:t xml:space="preserve">и </w:t>
      </w:r>
      <w:r w:rsidR="00964C2C" w:rsidRPr="00E81F86">
        <w:rPr>
          <w:rFonts w:ascii="SkolaSans" w:hAnsi="SkolaSans"/>
          <w:sz w:val="22"/>
          <w:szCs w:val="22"/>
          <w:lang w:val="mk-MK"/>
        </w:rPr>
        <w:t>доколку не постојат</w:t>
      </w:r>
      <w:r w:rsidR="0004140F" w:rsidRPr="00E81F86">
        <w:rPr>
          <w:rFonts w:ascii="SkolaSans" w:hAnsi="SkolaSans"/>
          <w:sz w:val="22"/>
          <w:szCs w:val="22"/>
          <w:lang w:val="mk-MK"/>
        </w:rPr>
        <w:t xml:space="preserve"> </w:t>
      </w:r>
      <w:r w:rsidR="00DF3599" w:rsidRPr="00E81F86">
        <w:rPr>
          <w:rFonts w:ascii="SkolaSans" w:hAnsi="SkolaSans"/>
          <w:sz w:val="22"/>
          <w:szCs w:val="22"/>
          <w:lang w:val="mk-MK"/>
        </w:rPr>
        <w:t>специфични</w:t>
      </w:r>
      <w:r w:rsidR="0004140F" w:rsidRPr="00E81F86">
        <w:rPr>
          <w:rFonts w:ascii="SkolaSans" w:hAnsi="SkolaSans"/>
          <w:sz w:val="22"/>
          <w:szCs w:val="22"/>
          <w:lang w:val="mk-MK"/>
        </w:rPr>
        <w:t xml:space="preserve"> околности, Комисијата донесува </w:t>
      </w:r>
      <w:r w:rsidR="00F53FE9" w:rsidRPr="00E81F86">
        <w:rPr>
          <w:rFonts w:ascii="SkolaSans" w:hAnsi="SkolaSans"/>
          <w:sz w:val="22"/>
          <w:szCs w:val="22"/>
          <w:lang w:val="mk-MK"/>
        </w:rPr>
        <w:t xml:space="preserve">решение </w:t>
      </w:r>
      <w:r w:rsidR="00471838" w:rsidRPr="00E81F86">
        <w:rPr>
          <w:rFonts w:ascii="SkolaSans" w:hAnsi="SkolaSans"/>
          <w:sz w:val="22"/>
          <w:szCs w:val="22"/>
          <w:lang w:val="mk-MK"/>
        </w:rPr>
        <w:t xml:space="preserve">со кое утврдува </w:t>
      </w:r>
      <w:r w:rsidR="00F53FE9" w:rsidRPr="00E81F86">
        <w:rPr>
          <w:rFonts w:ascii="SkolaSans" w:hAnsi="SkolaSans"/>
          <w:sz w:val="22"/>
          <w:szCs w:val="22"/>
          <w:lang w:val="mk-MK"/>
        </w:rPr>
        <w:t>дека концентрацијата е во согласност со Законот (решение со кое се одобрува концентрацијата)</w:t>
      </w:r>
      <w:r w:rsidR="008E0453" w:rsidRPr="00E81F86">
        <w:rPr>
          <w:rFonts w:ascii="SkolaSans" w:hAnsi="SkolaSans"/>
          <w:sz w:val="22"/>
          <w:szCs w:val="22"/>
          <w:lang w:val="mk-MK"/>
        </w:rPr>
        <w:t>,</w:t>
      </w:r>
      <w:r w:rsidR="0004140F" w:rsidRPr="00E81F86">
        <w:rPr>
          <w:rFonts w:ascii="SkolaSans" w:hAnsi="SkolaSans"/>
          <w:sz w:val="22"/>
          <w:szCs w:val="22"/>
          <w:lang w:val="mk-MK"/>
        </w:rPr>
        <w:t xml:space="preserve"> во </w:t>
      </w:r>
      <w:r w:rsidR="00187242" w:rsidRPr="00E81F86">
        <w:rPr>
          <w:rFonts w:ascii="SkolaSans" w:hAnsi="SkolaSans"/>
          <w:sz w:val="22"/>
          <w:szCs w:val="22"/>
          <w:lang w:val="mk-MK"/>
        </w:rPr>
        <w:t>рок од</w:t>
      </w:r>
      <w:r w:rsidR="0004140F" w:rsidRPr="00E81F86">
        <w:rPr>
          <w:rFonts w:ascii="SkolaSans" w:hAnsi="SkolaSans"/>
          <w:sz w:val="22"/>
          <w:szCs w:val="22"/>
          <w:lang w:val="mk-MK"/>
        </w:rPr>
        <w:t xml:space="preserve"> 25 работни дена од </w:t>
      </w:r>
      <w:r w:rsidR="00471838" w:rsidRPr="00E81F86">
        <w:rPr>
          <w:rFonts w:ascii="SkolaSans" w:hAnsi="SkolaSans"/>
          <w:sz w:val="22"/>
          <w:szCs w:val="22"/>
          <w:lang w:val="mk-MK"/>
        </w:rPr>
        <w:t xml:space="preserve">денот на приемот на уредното </w:t>
      </w:r>
      <w:r w:rsidR="0004140F" w:rsidRPr="00E81F86">
        <w:rPr>
          <w:rFonts w:ascii="SkolaSans" w:hAnsi="SkolaSans"/>
          <w:sz w:val="22"/>
          <w:szCs w:val="22"/>
          <w:lang w:val="mk-MK"/>
        </w:rPr>
        <w:t xml:space="preserve">известување, согласно член </w:t>
      </w:r>
      <w:r w:rsidR="00B5619D" w:rsidRPr="00E81F86">
        <w:rPr>
          <w:rFonts w:ascii="SkolaSans" w:hAnsi="SkolaSans"/>
          <w:sz w:val="22"/>
          <w:szCs w:val="22"/>
          <w:lang w:val="mk-MK"/>
        </w:rPr>
        <w:t xml:space="preserve">19 став </w:t>
      </w:r>
      <w:r w:rsidR="00964C2C" w:rsidRPr="00E81F86">
        <w:rPr>
          <w:rFonts w:ascii="SkolaSans" w:hAnsi="SkolaSans"/>
          <w:sz w:val="22"/>
          <w:szCs w:val="22"/>
          <w:lang w:val="mk-MK"/>
        </w:rPr>
        <w:t>(</w:t>
      </w:r>
      <w:r w:rsidR="0004140F" w:rsidRPr="00E81F86">
        <w:rPr>
          <w:rFonts w:ascii="SkolaSans" w:hAnsi="SkolaSans"/>
          <w:sz w:val="22"/>
          <w:szCs w:val="22"/>
          <w:lang w:val="mk-MK"/>
        </w:rPr>
        <w:t>1</w:t>
      </w:r>
      <w:r w:rsidR="00964C2C" w:rsidRPr="00E81F86">
        <w:rPr>
          <w:rFonts w:ascii="SkolaSans" w:hAnsi="SkolaSans"/>
          <w:sz w:val="22"/>
          <w:szCs w:val="22"/>
          <w:lang w:val="mk-MK"/>
        </w:rPr>
        <w:t>)</w:t>
      </w:r>
      <w:r w:rsidR="00331A7A" w:rsidRPr="00E81F86">
        <w:rPr>
          <w:rFonts w:ascii="SkolaSans" w:hAnsi="SkolaSans"/>
          <w:sz w:val="22"/>
          <w:szCs w:val="22"/>
          <w:lang w:val="mk-MK"/>
        </w:rPr>
        <w:t xml:space="preserve"> </w:t>
      </w:r>
      <w:r w:rsidR="00B5619D" w:rsidRPr="00E81F86">
        <w:rPr>
          <w:rFonts w:ascii="SkolaSans" w:hAnsi="SkolaSans"/>
          <w:sz w:val="22"/>
          <w:szCs w:val="22"/>
          <w:lang w:val="mk-MK"/>
        </w:rPr>
        <w:t xml:space="preserve">точка 2) </w:t>
      </w:r>
      <w:r w:rsidR="00906877" w:rsidRPr="00E81F86">
        <w:rPr>
          <w:rFonts w:ascii="SkolaSans" w:hAnsi="SkolaSans"/>
          <w:sz w:val="22"/>
          <w:szCs w:val="22"/>
          <w:lang w:val="mk-MK"/>
        </w:rPr>
        <w:t xml:space="preserve">од </w:t>
      </w:r>
      <w:r w:rsidR="00B5619D" w:rsidRPr="00E81F86">
        <w:rPr>
          <w:rFonts w:ascii="SkolaSans" w:hAnsi="SkolaSans"/>
          <w:sz w:val="22"/>
          <w:szCs w:val="22"/>
          <w:lang w:val="mk-MK"/>
        </w:rPr>
        <w:t>Законот</w:t>
      </w:r>
      <w:r w:rsidR="00906877" w:rsidRPr="00E81F86">
        <w:rPr>
          <w:rStyle w:val="FootnoteReference"/>
          <w:rFonts w:ascii="SkolaSans" w:hAnsi="SkolaSans"/>
          <w:color w:val="1A171B"/>
          <w:sz w:val="22"/>
          <w:szCs w:val="22"/>
          <w:lang w:val="mk-MK"/>
        </w:rPr>
        <w:footnoteReference w:id="3"/>
      </w:r>
      <w:r w:rsidR="0004140F" w:rsidRPr="00E81F86">
        <w:rPr>
          <w:rFonts w:ascii="SkolaSans" w:hAnsi="SkolaSans"/>
          <w:sz w:val="22"/>
          <w:szCs w:val="22"/>
          <w:lang w:val="mk-MK"/>
        </w:rPr>
        <w:t>.</w:t>
      </w:r>
    </w:p>
    <w:p w:rsidR="00D00D5A" w:rsidRPr="00E81F86" w:rsidRDefault="00331A7A" w:rsidP="00A80503">
      <w:pPr>
        <w:numPr>
          <w:ilvl w:val="0"/>
          <w:numId w:val="1"/>
        </w:numPr>
        <w:shd w:val="clear" w:color="auto" w:fill="FFFFFF"/>
        <w:tabs>
          <w:tab w:val="left" w:pos="403"/>
        </w:tabs>
        <w:spacing w:after="120"/>
        <w:ind w:left="403" w:hanging="240"/>
        <w:jc w:val="both"/>
        <w:rPr>
          <w:rFonts w:ascii="SkolaSans" w:hAnsi="SkolaSans"/>
          <w:spacing w:val="-4"/>
          <w:sz w:val="22"/>
          <w:szCs w:val="22"/>
        </w:rPr>
      </w:pPr>
      <w:r w:rsidRPr="00E81F86">
        <w:rPr>
          <w:rFonts w:ascii="SkolaSans" w:hAnsi="SkolaSans"/>
          <w:sz w:val="22"/>
          <w:szCs w:val="22"/>
          <w:lang w:val="mk-MK"/>
        </w:rPr>
        <w:t>Меѓутоа</w:t>
      </w:r>
      <w:r w:rsidR="00CB0F3E" w:rsidRPr="00E81F86">
        <w:rPr>
          <w:rFonts w:ascii="SkolaSans" w:hAnsi="SkolaSans"/>
          <w:sz w:val="22"/>
          <w:szCs w:val="22"/>
          <w:lang w:val="mk-MK"/>
        </w:rPr>
        <w:t xml:space="preserve">, </w:t>
      </w:r>
      <w:r w:rsidR="00974B0F" w:rsidRPr="00E81F86">
        <w:rPr>
          <w:rFonts w:ascii="SkolaSans" w:hAnsi="SkolaSans"/>
          <w:sz w:val="22"/>
          <w:szCs w:val="22"/>
          <w:lang w:val="mk-MK"/>
        </w:rPr>
        <w:t xml:space="preserve">и во случаите кога се исполнети условите од точка </w:t>
      </w:r>
      <w:r w:rsidR="00DF57C3" w:rsidRPr="00E81F86">
        <w:rPr>
          <w:rFonts w:ascii="SkolaSans" w:hAnsi="SkolaSans"/>
          <w:sz w:val="22"/>
          <w:szCs w:val="22"/>
          <w:lang w:val="mk-MK"/>
        </w:rPr>
        <w:t>6</w:t>
      </w:r>
      <w:r w:rsidR="00974B0F" w:rsidRPr="00E81F86">
        <w:rPr>
          <w:rFonts w:ascii="SkolaSans" w:hAnsi="SkolaSans"/>
          <w:sz w:val="22"/>
          <w:szCs w:val="22"/>
          <w:lang w:val="mk-MK"/>
        </w:rPr>
        <w:t xml:space="preserve"> или </w:t>
      </w:r>
      <w:r w:rsidR="00DF57C3" w:rsidRPr="00E81F86">
        <w:rPr>
          <w:rFonts w:ascii="SkolaSans" w:hAnsi="SkolaSans"/>
          <w:sz w:val="22"/>
          <w:szCs w:val="22"/>
          <w:lang w:val="mk-MK"/>
        </w:rPr>
        <w:t>7</w:t>
      </w:r>
      <w:r w:rsidR="00974B0F" w:rsidRPr="00E81F86">
        <w:rPr>
          <w:rFonts w:ascii="SkolaSans" w:hAnsi="SkolaSans"/>
          <w:sz w:val="22"/>
          <w:szCs w:val="22"/>
          <w:lang w:val="mk-MK"/>
        </w:rPr>
        <w:t xml:space="preserve"> од овие Насоки </w:t>
      </w:r>
      <w:r w:rsidR="008D7952" w:rsidRPr="00E81F86">
        <w:rPr>
          <w:rFonts w:ascii="SkolaSans" w:hAnsi="SkolaSans"/>
          <w:sz w:val="22"/>
          <w:szCs w:val="22"/>
          <w:lang w:val="mk-MK"/>
        </w:rPr>
        <w:t>Комисијата може да донесе заклучок за поведување постапка согласно Законот во однос на било која концентраци</w:t>
      </w:r>
      <w:r w:rsidR="004E53C0" w:rsidRPr="00E81F86">
        <w:rPr>
          <w:rFonts w:ascii="SkolaSans" w:hAnsi="SkolaSans"/>
          <w:sz w:val="22"/>
          <w:szCs w:val="22"/>
          <w:lang w:val="mk-MK"/>
        </w:rPr>
        <w:t>ја</w:t>
      </w:r>
      <w:r w:rsidR="008D7952" w:rsidRPr="00E81F86">
        <w:rPr>
          <w:rFonts w:ascii="SkolaSans" w:hAnsi="SkolaSans"/>
          <w:sz w:val="22"/>
          <w:szCs w:val="22"/>
          <w:lang w:val="mk-MK"/>
        </w:rPr>
        <w:t xml:space="preserve"> за </w:t>
      </w:r>
      <w:r w:rsidR="004E53C0" w:rsidRPr="00E81F86">
        <w:rPr>
          <w:rFonts w:ascii="SkolaSans" w:hAnsi="SkolaSans"/>
          <w:sz w:val="22"/>
          <w:szCs w:val="22"/>
          <w:lang w:val="mk-MK"/>
        </w:rPr>
        <w:t xml:space="preserve">која </w:t>
      </w:r>
      <w:r w:rsidR="008D7952" w:rsidRPr="00E81F86">
        <w:rPr>
          <w:rFonts w:ascii="SkolaSans" w:hAnsi="SkolaSans"/>
          <w:sz w:val="22"/>
          <w:szCs w:val="22"/>
          <w:lang w:val="mk-MK"/>
        </w:rPr>
        <w:t xml:space="preserve">е поднесено известување, особено </w:t>
      </w:r>
      <w:r w:rsidR="007D0481" w:rsidRPr="00E81F86">
        <w:rPr>
          <w:rFonts w:ascii="SkolaSans" w:hAnsi="SkolaSans"/>
          <w:sz w:val="22"/>
          <w:szCs w:val="22"/>
          <w:lang w:val="mk-MK"/>
        </w:rPr>
        <w:t>д</w:t>
      </w:r>
      <w:r w:rsidR="00F10D94" w:rsidRPr="00E81F86">
        <w:rPr>
          <w:rFonts w:ascii="SkolaSans" w:hAnsi="SkolaSans"/>
          <w:sz w:val="22"/>
          <w:szCs w:val="22"/>
          <w:lang w:val="mk-MK"/>
        </w:rPr>
        <w:t xml:space="preserve">околку може да се применат заштитните мерки или исклучоците утврдени во точки од </w:t>
      </w:r>
      <w:r w:rsidR="00D46C3C" w:rsidRPr="00E81F86">
        <w:rPr>
          <w:rFonts w:ascii="SkolaSans" w:hAnsi="SkolaSans"/>
          <w:sz w:val="22"/>
          <w:szCs w:val="22"/>
          <w:lang w:val="mk-MK"/>
        </w:rPr>
        <w:t>9</w:t>
      </w:r>
      <w:r w:rsidR="006D308E" w:rsidRPr="00E81F86">
        <w:rPr>
          <w:rFonts w:ascii="SkolaSans" w:hAnsi="SkolaSans"/>
          <w:sz w:val="22"/>
          <w:szCs w:val="22"/>
          <w:lang w:val="mk-MK"/>
        </w:rPr>
        <w:t xml:space="preserve"> до </w:t>
      </w:r>
      <w:r w:rsidR="00D46C3C" w:rsidRPr="00E81F86">
        <w:rPr>
          <w:rFonts w:ascii="SkolaSans" w:hAnsi="SkolaSans"/>
          <w:sz w:val="22"/>
          <w:szCs w:val="22"/>
          <w:lang w:val="mk-MK"/>
        </w:rPr>
        <w:t>18</w:t>
      </w:r>
      <w:r w:rsidR="007D0481" w:rsidRPr="00E81F86">
        <w:rPr>
          <w:rFonts w:ascii="SkolaSans" w:hAnsi="SkolaSans"/>
          <w:sz w:val="22"/>
          <w:szCs w:val="22"/>
          <w:lang w:val="mk-MK"/>
        </w:rPr>
        <w:t xml:space="preserve"> од ов</w:t>
      </w:r>
      <w:r w:rsidRPr="00E81F86">
        <w:rPr>
          <w:rFonts w:ascii="SkolaSans" w:hAnsi="SkolaSans"/>
          <w:sz w:val="22"/>
          <w:szCs w:val="22"/>
          <w:lang w:val="mk-MK"/>
        </w:rPr>
        <w:t>ие Насоки</w:t>
      </w:r>
      <w:r w:rsidR="00CB0F3E" w:rsidRPr="00E81F86">
        <w:rPr>
          <w:rFonts w:ascii="SkolaSans" w:hAnsi="SkolaSans"/>
          <w:sz w:val="22"/>
          <w:szCs w:val="22"/>
          <w:lang w:val="mk-MK"/>
        </w:rPr>
        <w:t>,.</w:t>
      </w:r>
    </w:p>
    <w:p w:rsidR="00D00D5A" w:rsidRPr="006D308E" w:rsidRDefault="00641E1B" w:rsidP="00A80503">
      <w:pPr>
        <w:numPr>
          <w:ilvl w:val="0"/>
          <w:numId w:val="1"/>
        </w:numPr>
        <w:shd w:val="clear" w:color="auto" w:fill="FFFFFF"/>
        <w:tabs>
          <w:tab w:val="left" w:pos="403"/>
        </w:tabs>
        <w:spacing w:after="120"/>
        <w:ind w:left="403" w:hanging="240"/>
        <w:jc w:val="both"/>
        <w:rPr>
          <w:rFonts w:ascii="SkolaSans" w:hAnsi="SkolaSans"/>
          <w:color w:val="1A171B"/>
          <w:spacing w:val="-4"/>
          <w:sz w:val="22"/>
          <w:szCs w:val="22"/>
        </w:rPr>
      </w:pPr>
      <w:r w:rsidRPr="006D308E">
        <w:rPr>
          <w:rFonts w:ascii="SkolaSans" w:hAnsi="SkolaSans"/>
          <w:sz w:val="22"/>
          <w:szCs w:val="22"/>
          <w:lang w:val="mk-MK"/>
        </w:rPr>
        <w:t>С</w:t>
      </w:r>
      <w:r w:rsidR="00B50DC2" w:rsidRPr="006D308E">
        <w:rPr>
          <w:rFonts w:ascii="SkolaSans" w:hAnsi="SkolaSans"/>
          <w:sz w:val="22"/>
          <w:szCs w:val="22"/>
          <w:lang w:val="mk-MK"/>
        </w:rPr>
        <w:t xml:space="preserve">ледејќи ја </w:t>
      </w:r>
      <w:r w:rsidRPr="006D308E">
        <w:rPr>
          <w:rFonts w:ascii="SkolaSans" w:hAnsi="SkolaSans"/>
          <w:sz w:val="22"/>
          <w:szCs w:val="22"/>
          <w:lang w:val="mk-MK"/>
        </w:rPr>
        <w:t>постапка</w:t>
      </w:r>
      <w:r w:rsidR="00B50DC2" w:rsidRPr="006D308E">
        <w:rPr>
          <w:rFonts w:ascii="SkolaSans" w:hAnsi="SkolaSans"/>
          <w:sz w:val="22"/>
          <w:szCs w:val="22"/>
          <w:lang w:val="mk-MK"/>
        </w:rPr>
        <w:t>та</w:t>
      </w:r>
      <w:r w:rsidRPr="006D308E">
        <w:rPr>
          <w:rFonts w:ascii="SkolaSans" w:hAnsi="SkolaSans"/>
          <w:sz w:val="22"/>
          <w:szCs w:val="22"/>
          <w:lang w:val="mk-MK"/>
        </w:rPr>
        <w:t xml:space="preserve"> опишана во </w:t>
      </w:r>
      <w:r w:rsidR="00B5619D" w:rsidRPr="006D308E">
        <w:rPr>
          <w:rFonts w:ascii="SkolaSans" w:hAnsi="SkolaSans"/>
          <w:sz w:val="22"/>
          <w:szCs w:val="22"/>
          <w:lang w:val="mk-MK"/>
        </w:rPr>
        <w:t xml:space="preserve">овие </w:t>
      </w:r>
      <w:r w:rsidR="00331A7A" w:rsidRPr="006D308E">
        <w:rPr>
          <w:rFonts w:ascii="SkolaSans" w:hAnsi="SkolaSans"/>
          <w:sz w:val="22"/>
          <w:szCs w:val="22"/>
          <w:lang w:val="mk-MK"/>
        </w:rPr>
        <w:t>Н</w:t>
      </w:r>
      <w:r w:rsidR="00B5619D" w:rsidRPr="006D308E">
        <w:rPr>
          <w:rFonts w:ascii="SkolaSans" w:hAnsi="SkolaSans"/>
          <w:sz w:val="22"/>
          <w:szCs w:val="22"/>
          <w:lang w:val="mk-MK"/>
        </w:rPr>
        <w:t>асоки</w:t>
      </w:r>
      <w:r w:rsidRPr="006D308E">
        <w:rPr>
          <w:rFonts w:ascii="SkolaSans" w:hAnsi="SkolaSans"/>
          <w:sz w:val="22"/>
          <w:szCs w:val="22"/>
          <w:lang w:val="mk-MK"/>
        </w:rPr>
        <w:t xml:space="preserve">, Комисијата има </w:t>
      </w:r>
      <w:r w:rsidR="00FC7D26" w:rsidRPr="006D308E">
        <w:rPr>
          <w:rFonts w:ascii="SkolaSans" w:hAnsi="SkolaSans"/>
          <w:sz w:val="22"/>
          <w:szCs w:val="22"/>
          <w:lang w:val="mk-MK"/>
        </w:rPr>
        <w:t xml:space="preserve">за </w:t>
      </w:r>
      <w:r w:rsidRPr="006D308E">
        <w:rPr>
          <w:rFonts w:ascii="SkolaSans" w:hAnsi="SkolaSans"/>
          <w:sz w:val="22"/>
          <w:szCs w:val="22"/>
          <w:lang w:val="mk-MK"/>
        </w:rPr>
        <w:t>цел контрола</w:t>
      </w:r>
      <w:r w:rsidR="00FC7D26" w:rsidRPr="006D308E">
        <w:rPr>
          <w:rFonts w:ascii="SkolaSans" w:hAnsi="SkolaSans"/>
          <w:sz w:val="22"/>
          <w:szCs w:val="22"/>
          <w:lang w:val="mk-MK"/>
        </w:rPr>
        <w:t>та</w:t>
      </w:r>
      <w:r w:rsidRPr="006D308E">
        <w:rPr>
          <w:rFonts w:ascii="SkolaSans" w:hAnsi="SkolaSans"/>
          <w:sz w:val="22"/>
          <w:szCs w:val="22"/>
          <w:lang w:val="mk-MK"/>
        </w:rPr>
        <w:t xml:space="preserve"> на </w:t>
      </w:r>
      <w:r w:rsidR="00E81F86">
        <w:rPr>
          <w:rFonts w:ascii="SkolaSans" w:hAnsi="SkolaSans"/>
          <w:sz w:val="22"/>
          <w:szCs w:val="22"/>
          <w:lang w:val="mk-MK"/>
        </w:rPr>
        <w:t>концентрациите</w:t>
      </w:r>
      <w:r w:rsidR="00B50DC2" w:rsidRPr="006D308E">
        <w:rPr>
          <w:rFonts w:ascii="SkolaSans" w:hAnsi="SkolaSans"/>
          <w:sz w:val="22"/>
          <w:szCs w:val="22"/>
          <w:lang w:val="mk-MK"/>
        </w:rPr>
        <w:t xml:space="preserve"> </w:t>
      </w:r>
      <w:r w:rsidR="00FC7D26" w:rsidRPr="006D308E">
        <w:rPr>
          <w:rFonts w:ascii="SkolaSans" w:hAnsi="SkolaSans"/>
          <w:sz w:val="22"/>
          <w:szCs w:val="22"/>
          <w:lang w:val="mk-MK"/>
        </w:rPr>
        <w:t>да ја направи пофокусирана и поефикасна</w:t>
      </w:r>
      <w:r w:rsidRPr="006D308E">
        <w:rPr>
          <w:rFonts w:ascii="SkolaSans" w:hAnsi="SkolaSans"/>
          <w:sz w:val="22"/>
          <w:szCs w:val="22"/>
          <w:lang w:val="mk-MK"/>
        </w:rPr>
        <w:t>.</w:t>
      </w:r>
    </w:p>
    <w:p w:rsidR="00250B62" w:rsidRPr="006D308E" w:rsidRDefault="00250B62" w:rsidP="00A80503">
      <w:pPr>
        <w:shd w:val="clear" w:color="auto" w:fill="FFFFFF"/>
        <w:spacing w:after="120"/>
        <w:ind w:right="5"/>
        <w:jc w:val="center"/>
        <w:rPr>
          <w:rFonts w:ascii="SkolaSans" w:hAnsi="SkolaSans"/>
          <w:color w:val="1A171B"/>
          <w:spacing w:val="-1"/>
          <w:sz w:val="22"/>
          <w:szCs w:val="22"/>
        </w:rPr>
      </w:pPr>
    </w:p>
    <w:p w:rsidR="00FB0744" w:rsidRPr="00E81F86" w:rsidRDefault="000B4A54" w:rsidP="00FB0744">
      <w:pPr>
        <w:shd w:val="clear" w:color="auto" w:fill="FFFFFF"/>
        <w:spacing w:after="120"/>
        <w:ind w:left="408"/>
        <w:rPr>
          <w:rFonts w:ascii="SkolaSans" w:hAnsi="SkolaSans"/>
          <w:color w:val="000000" w:themeColor="text1"/>
          <w:sz w:val="22"/>
          <w:szCs w:val="22"/>
        </w:rPr>
      </w:pPr>
      <w:r w:rsidRPr="006D308E">
        <w:rPr>
          <w:rFonts w:ascii="SkolaSans" w:hAnsi="SkolaSans"/>
          <w:b/>
          <w:color w:val="000000" w:themeColor="text1"/>
          <w:spacing w:val="-1"/>
          <w:sz w:val="22"/>
          <w:szCs w:val="22"/>
          <w:lang w:val="mk-MK"/>
        </w:rPr>
        <w:lastRenderedPageBreak/>
        <w:t>II.</w:t>
      </w:r>
      <w:r w:rsidRPr="006D308E">
        <w:rPr>
          <w:rFonts w:ascii="SkolaSans" w:hAnsi="SkolaSans"/>
          <w:b/>
          <w:color w:val="000000" w:themeColor="text1"/>
          <w:spacing w:val="-1"/>
          <w:sz w:val="22"/>
          <w:szCs w:val="22"/>
        </w:rPr>
        <w:t xml:space="preserve"> </w:t>
      </w:r>
      <w:r w:rsidR="00FB0744" w:rsidRPr="00FB0744">
        <w:rPr>
          <w:rFonts w:ascii="SkolaSans" w:hAnsi="SkolaSans"/>
          <w:b/>
          <w:iCs/>
          <w:color w:val="000000" w:themeColor="text1"/>
          <w:spacing w:val="-15"/>
          <w:sz w:val="22"/>
          <w:szCs w:val="22"/>
          <w:lang w:val="mk-MK"/>
        </w:rPr>
        <w:t>Подобни концентрации</w:t>
      </w:r>
    </w:p>
    <w:p w:rsidR="00B5619D" w:rsidRPr="006D308E" w:rsidRDefault="00B5619D" w:rsidP="00FB0744">
      <w:pPr>
        <w:shd w:val="clear" w:color="auto" w:fill="FFFFFF"/>
        <w:spacing w:after="120"/>
        <w:ind w:right="5"/>
        <w:jc w:val="center"/>
        <w:rPr>
          <w:rFonts w:ascii="SkolaSans" w:hAnsi="SkolaSans"/>
          <w:i/>
          <w:iCs/>
          <w:color w:val="000000" w:themeColor="text1"/>
          <w:spacing w:val="-15"/>
          <w:sz w:val="22"/>
          <w:szCs w:val="22"/>
          <w:lang w:val="mk-MK"/>
        </w:rPr>
      </w:pPr>
    </w:p>
    <w:p w:rsidR="00D00D5A" w:rsidRPr="00E81F86" w:rsidRDefault="000B4A54" w:rsidP="00A80503">
      <w:pPr>
        <w:pStyle w:val="ListParagraph"/>
        <w:numPr>
          <w:ilvl w:val="0"/>
          <w:numId w:val="1"/>
        </w:numPr>
        <w:shd w:val="clear" w:color="auto" w:fill="FFFFFF"/>
        <w:spacing w:after="120"/>
        <w:ind w:left="450" w:hanging="270"/>
        <w:contextualSpacing w:val="0"/>
        <w:jc w:val="both"/>
        <w:rPr>
          <w:rFonts w:ascii="SkolaSans" w:hAnsi="SkolaSans"/>
          <w:color w:val="000000" w:themeColor="text1"/>
          <w:sz w:val="22"/>
          <w:szCs w:val="22"/>
        </w:rPr>
      </w:pPr>
      <w:r w:rsidRPr="00FB0744">
        <w:rPr>
          <w:rFonts w:ascii="SkolaSans" w:hAnsi="SkolaSans"/>
          <w:color w:val="000000" w:themeColor="text1"/>
          <w:sz w:val="22"/>
          <w:szCs w:val="22"/>
          <w:lang w:val="mk-MK"/>
        </w:rPr>
        <w:t xml:space="preserve">Комисијата </w:t>
      </w:r>
      <w:r w:rsidR="00223050" w:rsidRPr="00FB0744">
        <w:rPr>
          <w:rFonts w:ascii="SkolaSans" w:hAnsi="SkolaSans"/>
          <w:bCs/>
          <w:sz w:val="22"/>
          <w:szCs w:val="22"/>
          <w:lang w:val="mk-MK"/>
        </w:rPr>
        <w:t>вообичаено</w:t>
      </w:r>
      <w:r w:rsidR="00974B0F" w:rsidRPr="00FB0744">
        <w:rPr>
          <w:rFonts w:ascii="SkolaSans" w:hAnsi="SkolaSans"/>
          <w:bCs/>
          <w:sz w:val="22"/>
          <w:szCs w:val="22"/>
          <w:lang w:val="mk-MK"/>
        </w:rPr>
        <w:t xml:space="preserve"> ќе утврди дека следните категории на концентрации се во согласност со Законот</w:t>
      </w:r>
      <w:r w:rsidR="00D45752" w:rsidRPr="00E81F86">
        <w:rPr>
          <w:rStyle w:val="FootnoteReference"/>
          <w:rFonts w:ascii="SkolaSans" w:hAnsi="SkolaSans"/>
          <w:color w:val="000000" w:themeColor="text1"/>
          <w:sz w:val="22"/>
          <w:szCs w:val="22"/>
          <w:lang w:val="mk-MK"/>
        </w:rPr>
        <w:footnoteReference w:id="4"/>
      </w:r>
      <w:r w:rsidRPr="00E81F86">
        <w:rPr>
          <w:rFonts w:ascii="SkolaSans" w:hAnsi="SkolaSans"/>
          <w:color w:val="000000" w:themeColor="text1"/>
          <w:sz w:val="22"/>
          <w:szCs w:val="22"/>
          <w:lang w:val="mk-MK"/>
        </w:rPr>
        <w:t>:</w:t>
      </w:r>
    </w:p>
    <w:p w:rsidR="00D00D5A" w:rsidRPr="006D308E" w:rsidRDefault="000B4A54" w:rsidP="00A80503">
      <w:pPr>
        <w:pStyle w:val="ListParagraph"/>
        <w:numPr>
          <w:ilvl w:val="0"/>
          <w:numId w:val="11"/>
        </w:numPr>
        <w:shd w:val="clear" w:color="auto" w:fill="FFFFFF"/>
        <w:spacing w:after="120"/>
        <w:contextualSpacing w:val="0"/>
        <w:jc w:val="both"/>
        <w:rPr>
          <w:rFonts w:ascii="SkolaSans" w:hAnsi="SkolaSans"/>
          <w:color w:val="000000" w:themeColor="text1"/>
          <w:sz w:val="22"/>
          <w:szCs w:val="22"/>
        </w:rPr>
      </w:pPr>
      <w:r w:rsidRPr="006D308E">
        <w:rPr>
          <w:rFonts w:ascii="SkolaSans" w:hAnsi="SkolaSans"/>
          <w:color w:val="000000" w:themeColor="text1"/>
          <w:sz w:val="22"/>
          <w:szCs w:val="22"/>
          <w:lang w:val="mk-MK"/>
        </w:rPr>
        <w:t xml:space="preserve">две или повеќе претпријатија се стекнуваат со заедничка контрола над заедничко вложување, доколку заедничкото вложување нема или има </w:t>
      </w:r>
      <w:r w:rsidRPr="006D308E">
        <w:rPr>
          <w:rFonts w:ascii="SkolaSans" w:hAnsi="SkolaSans"/>
          <w:color w:val="000000" w:themeColor="text1"/>
          <w:spacing w:val="-5"/>
          <w:sz w:val="22"/>
          <w:szCs w:val="22"/>
          <w:lang w:val="mk-MK"/>
        </w:rPr>
        <w:t>занемарливи</w:t>
      </w:r>
      <w:r w:rsidRPr="006D308E">
        <w:rPr>
          <w:rFonts w:ascii="SkolaSans" w:hAnsi="SkolaSans"/>
          <w:color w:val="000000" w:themeColor="text1"/>
          <w:sz w:val="22"/>
          <w:szCs w:val="22"/>
          <w:lang w:val="mk-MK"/>
        </w:rPr>
        <w:t xml:space="preserve"> реални или очекувани активности на територијата на Република Македонија.</w:t>
      </w:r>
      <w:r w:rsidRPr="006D308E">
        <w:rPr>
          <w:rFonts w:ascii="SkolaSans" w:hAnsi="SkolaSans"/>
          <w:color w:val="000000" w:themeColor="text1"/>
          <w:spacing w:val="-7"/>
          <w:sz w:val="22"/>
          <w:szCs w:val="22"/>
        </w:rPr>
        <w:t xml:space="preserve"> </w:t>
      </w:r>
      <w:r w:rsidRPr="006D308E">
        <w:rPr>
          <w:rFonts w:ascii="SkolaSans" w:hAnsi="SkolaSans"/>
          <w:color w:val="000000" w:themeColor="text1"/>
          <w:sz w:val="22"/>
          <w:szCs w:val="22"/>
          <w:lang w:val="mk-MK"/>
        </w:rPr>
        <w:t>Такви случаи постојат кога:</w:t>
      </w:r>
    </w:p>
    <w:p w:rsidR="008A02B3" w:rsidRPr="00E81F86" w:rsidRDefault="000B4A54" w:rsidP="00A80503">
      <w:pPr>
        <w:pStyle w:val="ListParagraph"/>
        <w:numPr>
          <w:ilvl w:val="0"/>
          <w:numId w:val="12"/>
        </w:numPr>
        <w:shd w:val="clear" w:color="auto" w:fill="FFFFFF"/>
        <w:spacing w:after="120"/>
        <w:ind w:left="1170"/>
        <w:contextualSpacing w:val="0"/>
        <w:jc w:val="both"/>
        <w:rPr>
          <w:rFonts w:ascii="SkolaSans" w:hAnsi="SkolaSans"/>
          <w:sz w:val="22"/>
          <w:szCs w:val="22"/>
        </w:rPr>
      </w:pPr>
      <w:r w:rsidRPr="006D308E">
        <w:rPr>
          <w:rFonts w:ascii="SkolaSans" w:hAnsi="SkolaSans"/>
          <w:color w:val="000000" w:themeColor="text1"/>
          <w:sz w:val="22"/>
          <w:szCs w:val="22"/>
          <w:lang w:val="mk-MK"/>
        </w:rPr>
        <w:t xml:space="preserve">приходот на заедничкото вложување и/или приходот од активностите кои му се препишуваат на заедничкото вложување </w:t>
      </w:r>
      <w:r w:rsidRPr="006D308E">
        <w:rPr>
          <w:rStyle w:val="FootnoteReference"/>
          <w:rFonts w:ascii="SkolaSans" w:hAnsi="SkolaSans"/>
          <w:color w:val="000000" w:themeColor="text1"/>
          <w:spacing w:val="-1"/>
          <w:sz w:val="22"/>
          <w:szCs w:val="22"/>
          <w:lang w:val="mk-MK"/>
        </w:rPr>
        <w:footnoteReference w:id="5"/>
      </w:r>
      <w:r w:rsidRPr="006D308E">
        <w:rPr>
          <w:rFonts w:ascii="SkolaSans" w:hAnsi="SkolaSans"/>
          <w:color w:val="000000" w:themeColor="text1"/>
          <w:sz w:val="22"/>
          <w:szCs w:val="22"/>
          <w:lang w:val="mk-MK"/>
        </w:rPr>
        <w:t xml:space="preserve"> е помал од 1 милион евра на територијата на Република Македонија </w:t>
      </w:r>
      <w:r w:rsidR="00136EEB" w:rsidRPr="006D308E">
        <w:rPr>
          <w:rFonts w:ascii="SkolaSans" w:hAnsi="SkolaSans"/>
          <w:color w:val="000000" w:themeColor="text1"/>
          <w:sz w:val="22"/>
          <w:szCs w:val="22"/>
          <w:lang w:val="mk-MK"/>
        </w:rPr>
        <w:t xml:space="preserve">во </w:t>
      </w:r>
      <w:r w:rsidR="00136EEB" w:rsidRPr="00E81F86">
        <w:rPr>
          <w:rFonts w:ascii="SkolaSans" w:hAnsi="SkolaSans"/>
          <w:sz w:val="22"/>
          <w:szCs w:val="22"/>
          <w:lang w:val="mk-MK"/>
        </w:rPr>
        <w:t>времето на поднесување на известувањето</w:t>
      </w:r>
      <w:r w:rsidR="00136EEB" w:rsidRPr="00E81F86">
        <w:rPr>
          <w:rStyle w:val="FootnoteReference"/>
          <w:rFonts w:ascii="SkolaSans" w:hAnsi="SkolaSans"/>
          <w:sz w:val="22"/>
          <w:szCs w:val="22"/>
          <w:lang w:val="mk-MK"/>
        </w:rPr>
        <w:footnoteReference w:id="6"/>
      </w:r>
      <w:r w:rsidR="00136EEB" w:rsidRPr="00E81F86">
        <w:rPr>
          <w:rFonts w:ascii="SkolaSans" w:hAnsi="SkolaSans"/>
          <w:sz w:val="22"/>
          <w:szCs w:val="22"/>
          <w:lang w:val="mk-MK"/>
        </w:rPr>
        <w:t xml:space="preserve"> </w:t>
      </w:r>
      <w:r w:rsidRPr="00E81F86">
        <w:rPr>
          <w:rFonts w:ascii="SkolaSans" w:hAnsi="SkolaSans"/>
          <w:sz w:val="22"/>
          <w:szCs w:val="22"/>
          <w:lang w:val="mk-MK"/>
        </w:rPr>
        <w:t>и</w:t>
      </w:r>
    </w:p>
    <w:p w:rsidR="00D00D5A" w:rsidRPr="00E81F86" w:rsidRDefault="000B4A54" w:rsidP="00A80503">
      <w:pPr>
        <w:pStyle w:val="ListParagraph"/>
        <w:numPr>
          <w:ilvl w:val="0"/>
          <w:numId w:val="12"/>
        </w:numPr>
        <w:shd w:val="clear" w:color="auto" w:fill="FFFFFF"/>
        <w:spacing w:after="120"/>
        <w:ind w:left="1170"/>
        <w:contextualSpacing w:val="0"/>
        <w:jc w:val="both"/>
        <w:rPr>
          <w:rFonts w:ascii="SkolaSans" w:hAnsi="SkolaSans"/>
          <w:sz w:val="22"/>
          <w:szCs w:val="22"/>
        </w:rPr>
      </w:pPr>
      <w:r w:rsidRPr="00E81F86">
        <w:rPr>
          <w:rFonts w:ascii="SkolaSans" w:hAnsi="SkolaSans"/>
          <w:sz w:val="22"/>
          <w:szCs w:val="22"/>
          <w:lang w:val="mk-MK"/>
        </w:rPr>
        <w:t>вкупната вредност на средствата префрлени во заедничкото вложување е помала од 1 милиони евра на територијата на Република Македонија</w:t>
      </w:r>
      <w:r w:rsidR="00D06EBB" w:rsidRPr="00E81F86">
        <w:rPr>
          <w:rFonts w:ascii="SkolaSans" w:hAnsi="SkolaSans"/>
          <w:sz w:val="22"/>
          <w:szCs w:val="22"/>
          <w:lang w:val="mk-MK"/>
        </w:rPr>
        <w:t xml:space="preserve"> во </w:t>
      </w:r>
      <w:r w:rsidR="00FC4D69" w:rsidRPr="00E81F86">
        <w:rPr>
          <w:rFonts w:ascii="SkolaSans" w:hAnsi="SkolaSans"/>
          <w:sz w:val="22"/>
          <w:szCs w:val="22"/>
          <w:lang w:val="mk-MK"/>
        </w:rPr>
        <w:t>времето на поднесување на известувањето</w:t>
      </w:r>
      <w:r w:rsidR="00FC4D69" w:rsidRPr="00E81F86">
        <w:rPr>
          <w:rStyle w:val="FootnoteReference"/>
          <w:rFonts w:ascii="SkolaSans" w:hAnsi="SkolaSans"/>
          <w:sz w:val="22"/>
          <w:szCs w:val="22"/>
          <w:lang w:val="mk-MK"/>
        </w:rPr>
        <w:t xml:space="preserve"> </w:t>
      </w:r>
      <w:r w:rsidRPr="00E81F86">
        <w:rPr>
          <w:rStyle w:val="FootnoteReference"/>
          <w:rFonts w:ascii="SkolaSans" w:hAnsi="SkolaSans"/>
          <w:sz w:val="22"/>
          <w:szCs w:val="22"/>
          <w:lang w:val="mk-MK"/>
        </w:rPr>
        <w:footnoteReference w:id="7"/>
      </w:r>
      <w:r w:rsidRPr="00E81F86">
        <w:rPr>
          <w:rFonts w:ascii="SkolaSans" w:hAnsi="SkolaSans"/>
          <w:sz w:val="22"/>
          <w:szCs w:val="22"/>
          <w:lang w:val="mk-MK"/>
        </w:rPr>
        <w:t>;</w:t>
      </w:r>
    </w:p>
    <w:p w:rsidR="00D00D5A" w:rsidRPr="006D308E" w:rsidRDefault="000B4A54" w:rsidP="00A80503">
      <w:pPr>
        <w:shd w:val="clear" w:color="auto" w:fill="FFFFFF"/>
        <w:tabs>
          <w:tab w:val="left" w:pos="696"/>
        </w:tabs>
        <w:spacing w:after="120"/>
        <w:ind w:left="810" w:right="5" w:hanging="360"/>
        <w:jc w:val="both"/>
        <w:rPr>
          <w:rFonts w:ascii="SkolaSans" w:hAnsi="SkolaSans"/>
          <w:spacing w:val="-13"/>
          <w:sz w:val="22"/>
          <w:szCs w:val="22"/>
        </w:rPr>
      </w:pPr>
      <w:r w:rsidRPr="006D308E">
        <w:rPr>
          <w:rFonts w:ascii="SkolaSans" w:hAnsi="SkolaSans"/>
          <w:sz w:val="22"/>
          <w:szCs w:val="22"/>
          <w:lang w:val="mk-MK"/>
        </w:rPr>
        <w:t>(б) две или повеќе претпријатија се спојуваат или едно или повеќе претпријатија стекнуваат индивидуална или заедничка контрола врз друго претпријатие, при што ниту еден од учесниците во концентрацијата не е ангажиран во деловни активности на истиот пазар на стоки и географски пазар</w:t>
      </w:r>
      <w:r w:rsidR="00FC4D69" w:rsidRPr="006D308E">
        <w:rPr>
          <w:rStyle w:val="FootnoteReference"/>
          <w:rFonts w:ascii="SkolaSans" w:hAnsi="SkolaSans"/>
          <w:sz w:val="22"/>
          <w:szCs w:val="22"/>
          <w:lang w:val="mk-MK"/>
        </w:rPr>
        <w:footnoteReference w:id="8"/>
      </w:r>
      <w:r w:rsidRPr="006D308E">
        <w:rPr>
          <w:rFonts w:ascii="SkolaSans" w:hAnsi="SkolaSans"/>
          <w:sz w:val="22"/>
          <w:szCs w:val="22"/>
          <w:lang w:val="mk-MK"/>
        </w:rPr>
        <w:t xml:space="preserve"> или на пазарот на стоки кој е </w:t>
      </w:r>
      <w:r w:rsidRPr="006D308E">
        <w:rPr>
          <w:rFonts w:ascii="SkolaSans" w:hAnsi="SkolaSans"/>
          <w:sz w:val="22"/>
          <w:szCs w:val="22"/>
          <w:lang w:val="mk-MK"/>
        </w:rPr>
        <w:lastRenderedPageBreak/>
        <w:t>нагорен или надолен пазар во однос на пазарот на стоки на кој учествува било кој друг учесник во концентрацијата</w:t>
      </w:r>
      <w:r w:rsidRPr="006D308E">
        <w:rPr>
          <w:rStyle w:val="FootnoteReference"/>
          <w:rFonts w:ascii="SkolaSans" w:hAnsi="SkolaSans"/>
          <w:sz w:val="22"/>
          <w:szCs w:val="22"/>
          <w:lang w:val="mk-MK"/>
        </w:rPr>
        <w:footnoteReference w:id="9"/>
      </w:r>
      <w:r w:rsidRPr="006D308E">
        <w:rPr>
          <w:rFonts w:ascii="SkolaSans" w:hAnsi="SkolaSans"/>
          <w:sz w:val="22"/>
          <w:szCs w:val="22"/>
          <w:lang w:val="mk-MK"/>
        </w:rPr>
        <w:t>;</w:t>
      </w:r>
    </w:p>
    <w:p w:rsidR="00D00D5A" w:rsidRPr="00E81F86" w:rsidRDefault="000B4A54" w:rsidP="00A80503">
      <w:pPr>
        <w:shd w:val="clear" w:color="auto" w:fill="FFFFFF"/>
        <w:tabs>
          <w:tab w:val="left" w:pos="696"/>
        </w:tabs>
        <w:spacing w:after="120"/>
        <w:ind w:left="810" w:right="5" w:hanging="360"/>
        <w:jc w:val="both"/>
        <w:rPr>
          <w:rFonts w:ascii="SkolaSans" w:hAnsi="SkolaSans"/>
          <w:spacing w:val="-15"/>
          <w:sz w:val="22"/>
          <w:szCs w:val="22"/>
        </w:rPr>
      </w:pPr>
      <w:r w:rsidRPr="006D308E">
        <w:rPr>
          <w:rFonts w:ascii="SkolaSans" w:hAnsi="SkolaSans"/>
          <w:sz w:val="22"/>
          <w:szCs w:val="22"/>
          <w:lang w:val="mk-MK"/>
        </w:rPr>
        <w:t xml:space="preserve">(в) се спојуваат две или повеќе претпријатија или едно или повеќе претпријатија стекнуваат индивидуална или заедничка контрола врз </w:t>
      </w:r>
      <w:r w:rsidRPr="00E81F86">
        <w:rPr>
          <w:rFonts w:ascii="SkolaSans" w:hAnsi="SkolaSans"/>
          <w:sz w:val="22"/>
          <w:szCs w:val="22"/>
          <w:lang w:val="mk-MK"/>
        </w:rPr>
        <w:t xml:space="preserve">друго претпријатие </w:t>
      </w:r>
      <w:r w:rsidR="00AA442F" w:rsidRPr="00E81F86">
        <w:rPr>
          <w:rFonts w:ascii="SkolaSans" w:hAnsi="SkolaSans"/>
          <w:sz w:val="22"/>
          <w:szCs w:val="22"/>
          <w:lang w:val="mk-MK"/>
        </w:rPr>
        <w:t>при што следните два услова се исполнети</w:t>
      </w:r>
      <w:r w:rsidRPr="00E81F86">
        <w:rPr>
          <w:rFonts w:ascii="SkolaSans" w:hAnsi="SkolaSans"/>
          <w:sz w:val="22"/>
          <w:szCs w:val="22"/>
          <w:lang w:val="mk-MK"/>
        </w:rPr>
        <w:t>:</w:t>
      </w:r>
    </w:p>
    <w:p w:rsidR="00924CED" w:rsidRPr="00E81F86" w:rsidRDefault="00AA442F" w:rsidP="00A80503">
      <w:pPr>
        <w:pStyle w:val="ListParagraph"/>
        <w:numPr>
          <w:ilvl w:val="0"/>
          <w:numId w:val="13"/>
        </w:numPr>
        <w:shd w:val="clear" w:color="auto" w:fill="FFFFFF"/>
        <w:spacing w:after="120"/>
        <w:ind w:left="1267"/>
        <w:contextualSpacing w:val="0"/>
        <w:jc w:val="both"/>
        <w:rPr>
          <w:rFonts w:ascii="SkolaSans" w:hAnsi="SkolaSans"/>
          <w:sz w:val="22"/>
          <w:szCs w:val="22"/>
        </w:rPr>
      </w:pPr>
      <w:r w:rsidRPr="00E81F86">
        <w:rPr>
          <w:rFonts w:ascii="SkolaSans" w:hAnsi="SkolaSans"/>
          <w:sz w:val="22"/>
          <w:szCs w:val="22"/>
          <w:lang w:val="mk-MK"/>
        </w:rPr>
        <w:t>заеднички пазарен удел на сите учесници во концентрацијата кои</w:t>
      </w:r>
      <w:r w:rsidR="000B4A54" w:rsidRPr="00E81F86">
        <w:rPr>
          <w:rFonts w:ascii="SkolaSans" w:hAnsi="SkolaSans"/>
          <w:sz w:val="22"/>
          <w:szCs w:val="22"/>
          <w:lang w:val="mk-MK"/>
        </w:rPr>
        <w:t xml:space="preserve"> се ангажирани во деловни активности </w:t>
      </w:r>
      <w:r w:rsidRPr="00E81F86">
        <w:rPr>
          <w:rFonts w:ascii="SkolaSans" w:hAnsi="SkolaSans"/>
          <w:sz w:val="22"/>
          <w:szCs w:val="22"/>
          <w:lang w:val="mk-MK"/>
        </w:rPr>
        <w:t>на</w:t>
      </w:r>
      <w:r w:rsidR="000B4A54" w:rsidRPr="00E81F86">
        <w:rPr>
          <w:rFonts w:ascii="SkolaSans" w:hAnsi="SkolaSans"/>
          <w:sz w:val="22"/>
          <w:szCs w:val="22"/>
          <w:lang w:val="mk-MK"/>
        </w:rPr>
        <w:t xml:space="preserve"> истиот пазар на стоки и географски пазар</w:t>
      </w:r>
      <w:r w:rsidRPr="00E81F86">
        <w:rPr>
          <w:rStyle w:val="FootnoteReference"/>
          <w:rFonts w:ascii="SkolaSans" w:hAnsi="SkolaSans"/>
          <w:sz w:val="22"/>
          <w:szCs w:val="22"/>
          <w:lang w:val="mk-MK"/>
        </w:rPr>
        <w:footnoteReference w:id="10"/>
      </w:r>
      <w:r w:rsidR="000B4A54" w:rsidRPr="00E81F86">
        <w:rPr>
          <w:rFonts w:ascii="SkolaSans" w:hAnsi="SkolaSans"/>
          <w:sz w:val="22"/>
          <w:szCs w:val="22"/>
          <w:lang w:val="mk-MK"/>
        </w:rPr>
        <w:t xml:space="preserve"> (хоризонтални односи), </w:t>
      </w:r>
      <w:r w:rsidR="008C1802" w:rsidRPr="00E81F86">
        <w:rPr>
          <w:rFonts w:ascii="SkolaSans" w:hAnsi="SkolaSans"/>
          <w:sz w:val="22"/>
          <w:szCs w:val="22"/>
          <w:lang w:val="mk-MK"/>
        </w:rPr>
        <w:t>не надминува</w:t>
      </w:r>
      <w:r w:rsidR="000B4A54" w:rsidRPr="00E81F86">
        <w:rPr>
          <w:rFonts w:ascii="SkolaSans" w:hAnsi="SkolaSans"/>
          <w:sz w:val="22"/>
          <w:szCs w:val="22"/>
          <w:lang w:val="mk-MK"/>
        </w:rPr>
        <w:t xml:space="preserve"> </w:t>
      </w:r>
      <w:r w:rsidR="008C1802" w:rsidRPr="00E81F86">
        <w:rPr>
          <w:rFonts w:ascii="SkolaSans" w:hAnsi="SkolaSans"/>
          <w:sz w:val="22"/>
          <w:szCs w:val="22"/>
          <w:lang w:val="mk-MK"/>
        </w:rPr>
        <w:t>20</w:t>
      </w:r>
      <w:r w:rsidR="008C1802" w:rsidRPr="00E81F86">
        <w:rPr>
          <w:rStyle w:val="FootnoteReference"/>
          <w:rFonts w:ascii="SkolaSans" w:hAnsi="SkolaSans"/>
          <w:sz w:val="22"/>
          <w:szCs w:val="22"/>
          <w:lang w:val="mk-MK"/>
        </w:rPr>
        <w:footnoteReference w:id="11"/>
      </w:r>
      <w:r w:rsidR="000B4A54" w:rsidRPr="00E81F86">
        <w:rPr>
          <w:rFonts w:ascii="SkolaSans" w:hAnsi="SkolaSans"/>
          <w:sz w:val="22"/>
          <w:szCs w:val="22"/>
          <w:lang w:val="mk-MK"/>
        </w:rPr>
        <w:t xml:space="preserve">% </w:t>
      </w:r>
    </w:p>
    <w:p w:rsidR="00D00D5A" w:rsidRPr="00E81F86" w:rsidRDefault="008C1802" w:rsidP="00A80503">
      <w:pPr>
        <w:pStyle w:val="ListParagraph"/>
        <w:numPr>
          <w:ilvl w:val="0"/>
          <w:numId w:val="13"/>
        </w:numPr>
        <w:shd w:val="clear" w:color="auto" w:fill="FFFFFF"/>
        <w:spacing w:after="120"/>
        <w:ind w:left="1267"/>
        <w:contextualSpacing w:val="0"/>
        <w:jc w:val="both"/>
        <w:rPr>
          <w:rFonts w:ascii="SkolaSans" w:hAnsi="SkolaSans"/>
          <w:sz w:val="22"/>
          <w:szCs w:val="22"/>
        </w:rPr>
      </w:pPr>
      <w:r w:rsidRPr="00E81F86">
        <w:rPr>
          <w:rFonts w:ascii="SkolaSans" w:hAnsi="SkolaSans"/>
          <w:sz w:val="22"/>
          <w:szCs w:val="22"/>
          <w:lang w:val="mk-MK"/>
        </w:rPr>
        <w:t xml:space="preserve">пазарниот удел на </w:t>
      </w:r>
      <w:r w:rsidR="000B4A54" w:rsidRPr="00E81F86">
        <w:rPr>
          <w:rFonts w:ascii="SkolaSans" w:hAnsi="SkolaSans"/>
          <w:sz w:val="22"/>
          <w:szCs w:val="22"/>
          <w:lang w:val="mk-MK"/>
        </w:rPr>
        <w:t xml:space="preserve">еден или </w:t>
      </w:r>
      <w:r w:rsidRPr="00E81F86">
        <w:rPr>
          <w:rFonts w:ascii="SkolaSans" w:hAnsi="SkolaSans"/>
          <w:sz w:val="22"/>
          <w:szCs w:val="22"/>
          <w:lang w:val="mk-MK"/>
        </w:rPr>
        <w:t>на сите</w:t>
      </w:r>
      <w:r w:rsidR="000B4A54" w:rsidRPr="00E81F86">
        <w:rPr>
          <w:rFonts w:ascii="SkolaSans" w:hAnsi="SkolaSans"/>
          <w:sz w:val="22"/>
          <w:szCs w:val="22"/>
          <w:lang w:val="mk-MK"/>
        </w:rPr>
        <w:t xml:space="preserve"> учесници во концентрацијата </w:t>
      </w:r>
      <w:r w:rsidRPr="00E81F86">
        <w:rPr>
          <w:rFonts w:ascii="SkolaSans" w:hAnsi="SkolaSans"/>
          <w:sz w:val="22"/>
          <w:szCs w:val="22"/>
          <w:lang w:val="mk-MK"/>
        </w:rPr>
        <w:t xml:space="preserve">кои </w:t>
      </w:r>
      <w:r w:rsidR="000B4A54" w:rsidRPr="00E81F86">
        <w:rPr>
          <w:rFonts w:ascii="SkolaSans" w:hAnsi="SkolaSans"/>
          <w:sz w:val="22"/>
          <w:szCs w:val="22"/>
          <w:lang w:val="mk-MK"/>
        </w:rPr>
        <w:t>се ангажирани во деловни активности на пазар на стоки  кој е нагорен или надолен  пазар во однос на пазарот на стоки на кој учествува било кој друг учесник во концентрацијата (вертикални односи)</w:t>
      </w:r>
      <w:r w:rsidR="000B4A54" w:rsidRPr="00E81F86">
        <w:rPr>
          <w:rStyle w:val="FootnoteReference"/>
          <w:rFonts w:ascii="SkolaSans" w:hAnsi="SkolaSans"/>
          <w:spacing w:val="-3"/>
          <w:sz w:val="22"/>
          <w:szCs w:val="22"/>
          <w:lang w:val="mk-MK"/>
        </w:rPr>
        <w:footnoteReference w:id="12"/>
      </w:r>
      <w:r w:rsidR="000B4A54" w:rsidRPr="00E81F86">
        <w:rPr>
          <w:rFonts w:ascii="SkolaSans" w:hAnsi="SkolaSans"/>
          <w:sz w:val="22"/>
          <w:szCs w:val="22"/>
          <w:lang w:val="mk-MK"/>
        </w:rPr>
        <w:t xml:space="preserve">, не </w:t>
      </w:r>
      <w:r w:rsidRPr="00E81F86">
        <w:rPr>
          <w:rFonts w:ascii="SkolaSans" w:hAnsi="SkolaSans"/>
          <w:sz w:val="22"/>
          <w:szCs w:val="22"/>
          <w:lang w:val="mk-MK"/>
        </w:rPr>
        <w:t>надминува</w:t>
      </w:r>
      <w:r w:rsidR="000B4A54" w:rsidRPr="00E81F86">
        <w:rPr>
          <w:rFonts w:ascii="SkolaSans" w:hAnsi="SkolaSans"/>
          <w:sz w:val="22"/>
          <w:szCs w:val="22"/>
          <w:lang w:val="mk-MK"/>
        </w:rPr>
        <w:t xml:space="preserve"> </w:t>
      </w:r>
      <w:r w:rsidRPr="00E81F86">
        <w:rPr>
          <w:rFonts w:ascii="SkolaSans" w:hAnsi="SkolaSans"/>
          <w:sz w:val="22"/>
          <w:szCs w:val="22"/>
          <w:lang w:val="mk-MK"/>
        </w:rPr>
        <w:t>30</w:t>
      </w:r>
      <w:r w:rsidR="000B4A54" w:rsidRPr="00E81F86">
        <w:rPr>
          <w:rFonts w:ascii="SkolaSans" w:hAnsi="SkolaSans"/>
          <w:sz w:val="22"/>
          <w:szCs w:val="22"/>
          <w:lang w:val="mk-MK"/>
        </w:rPr>
        <w:t>%</w:t>
      </w:r>
      <w:r w:rsidR="000B4A54" w:rsidRPr="00E81F86">
        <w:rPr>
          <w:rStyle w:val="FootnoteReference"/>
          <w:rFonts w:ascii="SkolaSans" w:hAnsi="SkolaSans"/>
          <w:sz w:val="22"/>
          <w:szCs w:val="22"/>
          <w:lang w:val="mk-MK"/>
        </w:rPr>
        <w:footnoteReference w:id="13"/>
      </w:r>
      <w:r w:rsidR="000B4A54" w:rsidRPr="00E81F86">
        <w:rPr>
          <w:rFonts w:ascii="SkolaSans" w:hAnsi="SkolaSans"/>
          <w:sz w:val="22"/>
          <w:szCs w:val="22"/>
          <w:lang w:val="mk-MK"/>
        </w:rPr>
        <w:t>;</w:t>
      </w:r>
    </w:p>
    <w:p w:rsidR="00FD4968" w:rsidRPr="00E81F86" w:rsidRDefault="000B4A54" w:rsidP="00FD4968">
      <w:pPr>
        <w:shd w:val="clear" w:color="auto" w:fill="FFFFFF"/>
        <w:tabs>
          <w:tab w:val="left" w:pos="696"/>
        </w:tabs>
        <w:spacing w:after="120"/>
        <w:ind w:left="696" w:right="5" w:hanging="288"/>
        <w:jc w:val="both"/>
        <w:rPr>
          <w:rFonts w:ascii="SkolaSans" w:hAnsi="SkolaSans"/>
          <w:sz w:val="22"/>
          <w:szCs w:val="22"/>
          <w:lang w:val="mk-MK"/>
        </w:rPr>
      </w:pPr>
      <w:r w:rsidRPr="00E81F86">
        <w:rPr>
          <w:rFonts w:ascii="SkolaSans" w:hAnsi="SkolaSans"/>
          <w:spacing w:val="-13"/>
          <w:sz w:val="22"/>
          <w:szCs w:val="22"/>
          <w:lang w:val="mk-MK"/>
        </w:rPr>
        <w:t>(г)</w:t>
      </w:r>
      <w:r w:rsidRPr="00E81F86">
        <w:rPr>
          <w:rFonts w:ascii="SkolaSans" w:hAnsi="SkolaSans"/>
          <w:sz w:val="22"/>
          <w:szCs w:val="22"/>
        </w:rPr>
        <w:tab/>
      </w:r>
      <w:r w:rsidRPr="00E81F86">
        <w:rPr>
          <w:rFonts w:ascii="SkolaSans" w:hAnsi="SkolaSans"/>
          <w:sz w:val="22"/>
          <w:szCs w:val="22"/>
          <w:lang w:val="mk-MK"/>
        </w:rPr>
        <w:t>една страна стекнува индивидуална контрола врз претпријатие над кое веќе има заедничка контрола.</w:t>
      </w:r>
    </w:p>
    <w:p w:rsidR="00250B62" w:rsidRPr="00E81F86" w:rsidRDefault="00DF57C3" w:rsidP="00FD4968">
      <w:pPr>
        <w:shd w:val="clear" w:color="auto" w:fill="FFFFFF"/>
        <w:tabs>
          <w:tab w:val="left" w:pos="696"/>
        </w:tabs>
        <w:spacing w:after="120"/>
        <w:ind w:left="696" w:right="5" w:hanging="288"/>
        <w:jc w:val="both"/>
        <w:rPr>
          <w:rFonts w:ascii="SkolaSans" w:hAnsi="SkolaSans"/>
          <w:sz w:val="22"/>
          <w:szCs w:val="22"/>
        </w:rPr>
      </w:pPr>
      <w:r w:rsidRPr="00E81F86">
        <w:rPr>
          <w:rFonts w:ascii="SkolaSans" w:hAnsi="SkolaSans"/>
          <w:sz w:val="22"/>
          <w:szCs w:val="22"/>
          <w:lang w:val="mk-MK"/>
        </w:rPr>
        <w:t>7</w:t>
      </w:r>
      <w:r w:rsidR="00FD4968" w:rsidRPr="00E81F86">
        <w:rPr>
          <w:rFonts w:ascii="SkolaSans" w:hAnsi="SkolaSans"/>
          <w:sz w:val="22"/>
          <w:szCs w:val="22"/>
          <w:lang w:val="mk-MK"/>
        </w:rPr>
        <w:t xml:space="preserve">. </w:t>
      </w:r>
      <w:r w:rsidR="00223050" w:rsidRPr="00E81F86">
        <w:rPr>
          <w:rFonts w:ascii="SkolaSans" w:hAnsi="SkolaSans"/>
          <w:iCs/>
          <w:spacing w:val="-14"/>
          <w:sz w:val="22"/>
          <w:szCs w:val="22"/>
          <w:lang w:val="mk-MK"/>
        </w:rPr>
        <w:t xml:space="preserve">Комисијата исто така може вообичаено да утврди дека концентрацијата е во согласност со одредбите од Законот </w:t>
      </w:r>
      <w:r w:rsidR="00BC0A4C" w:rsidRPr="00E81F86">
        <w:rPr>
          <w:rFonts w:ascii="SkolaSans" w:hAnsi="SkolaSans"/>
          <w:iCs/>
          <w:spacing w:val="-14"/>
          <w:sz w:val="22"/>
          <w:szCs w:val="22"/>
          <w:lang w:val="mk-MK"/>
        </w:rPr>
        <w:t xml:space="preserve">кога две или повеќе претпријатија се спојуваат, или едно или повеќе претпријатија стекнуваат единствена или заедничка контрола над друго претпријатие, при што </w:t>
      </w:r>
      <w:r w:rsidR="00BC0A4C" w:rsidRPr="00E81F86">
        <w:rPr>
          <w:rFonts w:ascii="SkolaSans" w:hAnsi="SkolaSans"/>
          <w:sz w:val="22"/>
          <w:szCs w:val="22"/>
          <w:lang w:val="mk-MK"/>
        </w:rPr>
        <w:t>следните два услова се исполнети:</w:t>
      </w:r>
    </w:p>
    <w:p w:rsidR="00BC0A4C" w:rsidRPr="00E81F86" w:rsidRDefault="00BC0A4C" w:rsidP="00BC0A4C">
      <w:pPr>
        <w:shd w:val="clear" w:color="auto" w:fill="FFFFFF"/>
        <w:spacing w:after="120"/>
        <w:ind w:left="413"/>
        <w:jc w:val="both"/>
        <w:rPr>
          <w:rFonts w:ascii="SkolaSans" w:hAnsi="SkolaSans"/>
          <w:i/>
          <w:iCs/>
          <w:spacing w:val="-14"/>
          <w:sz w:val="22"/>
          <w:szCs w:val="22"/>
          <w:lang w:val="mk-MK"/>
        </w:rPr>
      </w:pPr>
      <w:r w:rsidRPr="00E81F86">
        <w:rPr>
          <w:rFonts w:ascii="SkolaSans" w:hAnsi="SkolaSans"/>
          <w:i/>
          <w:iCs/>
          <w:spacing w:val="-14"/>
          <w:sz w:val="22"/>
          <w:szCs w:val="22"/>
          <w:lang w:val="mk-MK"/>
        </w:rPr>
        <w:t>(</w:t>
      </w:r>
      <w:r w:rsidRPr="00E81F86">
        <w:rPr>
          <w:rFonts w:ascii="SkolaSans" w:hAnsi="SkolaSans"/>
          <w:i/>
          <w:iCs/>
          <w:spacing w:val="-14"/>
          <w:sz w:val="22"/>
          <w:szCs w:val="22"/>
        </w:rPr>
        <w:t>i)</w:t>
      </w:r>
      <w:r w:rsidRPr="00E81F86">
        <w:rPr>
          <w:rFonts w:ascii="SkolaSans" w:hAnsi="SkolaSans"/>
          <w:i/>
          <w:iCs/>
          <w:spacing w:val="-14"/>
          <w:sz w:val="22"/>
          <w:szCs w:val="22"/>
          <w:lang w:val="mk-MK"/>
        </w:rPr>
        <w:t xml:space="preserve"> Заедничкиот пазарен удел на сите учесници во концентрацијата кои се во хоризонтални односи не надминува 50%; и</w:t>
      </w:r>
    </w:p>
    <w:p w:rsidR="00F94E45" w:rsidRDefault="00BC0A4C">
      <w:pPr>
        <w:ind w:left="413"/>
        <w:jc w:val="both"/>
        <w:rPr>
          <w:rFonts w:ascii="SkolaSans" w:hAnsi="SkolaSans"/>
          <w:i/>
          <w:iCs/>
          <w:spacing w:val="-14"/>
          <w:sz w:val="22"/>
          <w:szCs w:val="22"/>
        </w:rPr>
      </w:pPr>
      <w:r w:rsidRPr="00E81F86">
        <w:rPr>
          <w:rFonts w:ascii="SkolaSans" w:hAnsi="SkolaSans"/>
          <w:i/>
          <w:iCs/>
          <w:spacing w:val="-14"/>
          <w:sz w:val="22"/>
          <w:szCs w:val="22"/>
          <w:lang w:val="mk-MK"/>
        </w:rPr>
        <w:t>(</w:t>
      </w:r>
      <w:r w:rsidRPr="00E81F86">
        <w:rPr>
          <w:rFonts w:ascii="SkolaSans" w:hAnsi="SkolaSans"/>
          <w:i/>
          <w:iCs/>
          <w:spacing w:val="-14"/>
          <w:sz w:val="22"/>
          <w:szCs w:val="22"/>
        </w:rPr>
        <w:t xml:space="preserve">ii) </w:t>
      </w:r>
      <w:r w:rsidRPr="00E81F86">
        <w:rPr>
          <w:rFonts w:ascii="SkolaSans" w:hAnsi="SkolaSans"/>
          <w:i/>
          <w:iCs/>
          <w:spacing w:val="-14"/>
          <w:sz w:val="22"/>
          <w:szCs w:val="22"/>
          <w:lang w:val="mk-MK"/>
        </w:rPr>
        <w:t xml:space="preserve">Порастот (делта) на </w:t>
      </w:r>
      <w:r w:rsidRPr="00E81F86">
        <w:rPr>
          <w:rFonts w:ascii="SkolaSans" w:hAnsi="SkolaSans"/>
          <w:sz w:val="22"/>
          <w:szCs w:val="22"/>
        </w:rPr>
        <w:t>Herfindahl-Hirschman</w:t>
      </w:r>
      <w:r w:rsidRPr="00E81F86">
        <w:rPr>
          <w:rFonts w:ascii="SkolaSans" w:hAnsi="SkolaSans"/>
          <w:sz w:val="22"/>
          <w:szCs w:val="22"/>
          <w:lang w:val="mk-MK"/>
        </w:rPr>
        <w:t xml:space="preserve"> (</w:t>
      </w:r>
      <w:r w:rsidRPr="00E81F86">
        <w:rPr>
          <w:rFonts w:ascii="SkolaSans" w:hAnsi="SkolaSans"/>
          <w:i/>
          <w:iCs/>
          <w:spacing w:val="-14"/>
          <w:sz w:val="22"/>
          <w:szCs w:val="22"/>
        </w:rPr>
        <w:t>HHI</w:t>
      </w:r>
      <w:r w:rsidRPr="00E81F86">
        <w:rPr>
          <w:rFonts w:ascii="SkolaSans" w:hAnsi="SkolaSans"/>
          <w:i/>
          <w:iCs/>
          <w:spacing w:val="-14"/>
          <w:sz w:val="22"/>
          <w:szCs w:val="22"/>
          <w:lang w:val="mk-MK"/>
        </w:rPr>
        <w:t>) индексот кој резултира од концентрацијата е под 150</w:t>
      </w:r>
      <w:r w:rsidRPr="00E81F86">
        <w:rPr>
          <w:rStyle w:val="FootnoteReference"/>
          <w:rFonts w:ascii="SkolaSans" w:hAnsi="SkolaSans"/>
          <w:i/>
          <w:iCs/>
          <w:spacing w:val="-14"/>
          <w:sz w:val="22"/>
          <w:szCs w:val="22"/>
          <w:lang w:val="mk-MK"/>
        </w:rPr>
        <w:footnoteReference w:id="14"/>
      </w:r>
      <w:r w:rsidRPr="00E81F86">
        <w:rPr>
          <w:rStyle w:val="FootnoteReference"/>
          <w:rFonts w:ascii="SkolaSans" w:hAnsi="SkolaSans"/>
          <w:i/>
          <w:iCs/>
          <w:spacing w:val="-14"/>
          <w:sz w:val="22"/>
          <w:szCs w:val="22"/>
          <w:lang w:val="mk-MK"/>
        </w:rPr>
        <w:footnoteReference w:id="15"/>
      </w:r>
      <w:r w:rsidRPr="00E81F86">
        <w:rPr>
          <w:rFonts w:ascii="SkolaSans" w:hAnsi="SkolaSans"/>
          <w:i/>
          <w:iCs/>
          <w:spacing w:val="-14"/>
          <w:sz w:val="22"/>
          <w:szCs w:val="22"/>
          <w:lang w:val="mk-MK"/>
        </w:rPr>
        <w:t>.</w:t>
      </w:r>
    </w:p>
    <w:p w:rsidR="00FD4968" w:rsidRDefault="00FD4968" w:rsidP="00FD4968">
      <w:pPr>
        <w:shd w:val="clear" w:color="auto" w:fill="FFFFFF"/>
        <w:spacing w:after="120"/>
        <w:jc w:val="both"/>
        <w:rPr>
          <w:rFonts w:ascii="SkolaSans" w:hAnsi="SkolaSans"/>
          <w:i/>
          <w:iCs/>
          <w:color w:val="0070C0"/>
          <w:spacing w:val="-14"/>
          <w:sz w:val="22"/>
          <w:szCs w:val="22"/>
          <w:lang w:val="mk-MK"/>
        </w:rPr>
      </w:pPr>
    </w:p>
    <w:p w:rsidR="000F7988" w:rsidRDefault="000F7988" w:rsidP="00D06EBB">
      <w:pPr>
        <w:pStyle w:val="ListParagraph"/>
        <w:numPr>
          <w:ilvl w:val="0"/>
          <w:numId w:val="27"/>
        </w:numPr>
        <w:shd w:val="clear" w:color="auto" w:fill="FFFFFF"/>
        <w:spacing w:after="120"/>
        <w:jc w:val="both"/>
        <w:rPr>
          <w:rFonts w:ascii="SkolaSans" w:hAnsi="SkolaSans"/>
          <w:iCs/>
          <w:sz w:val="22"/>
          <w:szCs w:val="22"/>
          <w:lang w:val="mk-MK"/>
        </w:rPr>
      </w:pPr>
      <w:r w:rsidRPr="00E81F86">
        <w:rPr>
          <w:rFonts w:ascii="SkolaSans" w:hAnsi="SkolaSans"/>
          <w:iCs/>
          <w:sz w:val="22"/>
          <w:szCs w:val="22"/>
          <w:lang w:val="mk-MK"/>
        </w:rPr>
        <w:t xml:space="preserve">За целите на примена на точката </w:t>
      </w:r>
      <w:r w:rsidR="00D06EBB" w:rsidRPr="00E81F86">
        <w:rPr>
          <w:rFonts w:ascii="SkolaSans" w:hAnsi="SkolaSans"/>
          <w:iCs/>
          <w:sz w:val="22"/>
          <w:szCs w:val="22"/>
          <w:lang w:val="mk-MK"/>
        </w:rPr>
        <w:t>6</w:t>
      </w:r>
      <w:r w:rsidRPr="00E81F86">
        <w:rPr>
          <w:rFonts w:ascii="SkolaSans" w:hAnsi="SkolaSans"/>
          <w:iCs/>
          <w:sz w:val="22"/>
          <w:szCs w:val="22"/>
          <w:lang w:val="mk-MK"/>
        </w:rPr>
        <w:t xml:space="preserve"> (б) и (в) и точката </w:t>
      </w:r>
      <w:r w:rsidR="00223050" w:rsidRPr="00E81F86">
        <w:rPr>
          <w:rFonts w:ascii="SkolaSans" w:hAnsi="SkolaSans"/>
          <w:iCs/>
          <w:sz w:val="22"/>
          <w:szCs w:val="22"/>
          <w:lang w:val="mk-MK"/>
        </w:rPr>
        <w:t>7</w:t>
      </w:r>
      <w:r w:rsidRPr="00E81F86">
        <w:rPr>
          <w:rFonts w:ascii="SkolaSans" w:hAnsi="SkolaSans"/>
          <w:iCs/>
          <w:sz w:val="22"/>
          <w:szCs w:val="22"/>
          <w:lang w:val="mk-MK"/>
        </w:rPr>
        <w:t xml:space="preserve"> во случај на </w:t>
      </w:r>
      <w:r w:rsidRPr="00E81F86">
        <w:rPr>
          <w:rFonts w:ascii="SkolaSans" w:hAnsi="SkolaSans"/>
          <w:iCs/>
          <w:sz w:val="22"/>
          <w:szCs w:val="22"/>
          <w:lang w:val="mk-MK"/>
        </w:rPr>
        <w:lastRenderedPageBreak/>
        <w:t xml:space="preserve">стекнување на заедничка контрола надвор од полето на делување на заедничкото вложување, односите кои постојат само помеѓу претпријатијата  кои стекнуваат заедничка контрола  не се сметаат за хоризонтални или вертикални односи за целите на примена на овие Насоки.  Сепак, тие односи може да </w:t>
      </w:r>
      <w:r w:rsidR="00D50B5E" w:rsidRPr="00E81F86">
        <w:rPr>
          <w:rFonts w:ascii="SkolaSans" w:hAnsi="SkolaSans"/>
          <w:iCs/>
          <w:sz w:val="22"/>
          <w:szCs w:val="22"/>
          <w:lang w:val="mk-MK"/>
        </w:rPr>
        <w:t>имаат за цел или ефект усогласување на конкурент</w:t>
      </w:r>
      <w:r w:rsidR="00D06EBB" w:rsidRPr="00E81F86">
        <w:rPr>
          <w:rFonts w:ascii="SkolaSans" w:hAnsi="SkolaSans"/>
          <w:iCs/>
          <w:sz w:val="22"/>
          <w:szCs w:val="22"/>
          <w:lang w:val="mk-MK"/>
        </w:rPr>
        <w:t>ското однесување согласно член 1</w:t>
      </w:r>
      <w:r w:rsidR="00D50B5E" w:rsidRPr="00E81F86">
        <w:rPr>
          <w:rFonts w:ascii="SkolaSans" w:hAnsi="SkolaSans"/>
          <w:iCs/>
          <w:sz w:val="22"/>
          <w:szCs w:val="22"/>
          <w:lang w:val="mk-MK"/>
        </w:rPr>
        <w:t xml:space="preserve">7 став (5) од Законот, таквите случаи се разработени во точка </w:t>
      </w:r>
      <w:r w:rsidR="00223050" w:rsidRPr="00E81F86">
        <w:rPr>
          <w:rFonts w:ascii="SkolaSans" w:hAnsi="SkolaSans"/>
          <w:iCs/>
          <w:sz w:val="22"/>
          <w:szCs w:val="22"/>
          <w:lang w:val="mk-MK"/>
        </w:rPr>
        <w:t>15</w:t>
      </w:r>
      <w:r w:rsidR="00D50B5E" w:rsidRPr="00E81F86">
        <w:rPr>
          <w:rFonts w:ascii="SkolaSans" w:hAnsi="SkolaSans"/>
          <w:iCs/>
          <w:sz w:val="22"/>
          <w:szCs w:val="22"/>
          <w:lang w:val="mk-MK"/>
        </w:rPr>
        <w:t xml:space="preserve"> од овие Насоки.</w:t>
      </w:r>
    </w:p>
    <w:p w:rsidR="00C34554" w:rsidRPr="00E81F86" w:rsidRDefault="00C34554" w:rsidP="00C34554">
      <w:pPr>
        <w:pStyle w:val="ListParagraph"/>
        <w:shd w:val="clear" w:color="auto" w:fill="FFFFFF"/>
        <w:spacing w:after="120"/>
        <w:jc w:val="both"/>
        <w:rPr>
          <w:rFonts w:ascii="SkolaSans" w:hAnsi="SkolaSans"/>
          <w:iCs/>
          <w:sz w:val="22"/>
          <w:szCs w:val="22"/>
          <w:lang w:val="mk-MK"/>
        </w:rPr>
      </w:pPr>
    </w:p>
    <w:p w:rsidR="00114FAC" w:rsidRPr="006D308E" w:rsidRDefault="000B4A54" w:rsidP="00A80503">
      <w:pPr>
        <w:shd w:val="clear" w:color="auto" w:fill="FFFFFF"/>
        <w:spacing w:after="120"/>
        <w:ind w:left="413"/>
        <w:rPr>
          <w:rFonts w:ascii="SkolaSans" w:hAnsi="SkolaSans"/>
          <w:b/>
          <w:i/>
          <w:iCs/>
          <w:sz w:val="22"/>
          <w:szCs w:val="22"/>
          <w:lang w:val="mk-MK"/>
        </w:rPr>
      </w:pPr>
      <w:r w:rsidRPr="006D308E">
        <w:rPr>
          <w:rFonts w:ascii="SkolaSans" w:hAnsi="SkolaSans"/>
          <w:b/>
          <w:i/>
          <w:iCs/>
          <w:sz w:val="22"/>
          <w:szCs w:val="22"/>
          <w:lang w:val="mk-MK"/>
        </w:rPr>
        <w:t>Заштитни мерки и исклучоци</w:t>
      </w:r>
    </w:p>
    <w:p w:rsidR="000F7988" w:rsidRPr="006D308E" w:rsidRDefault="000F7988" w:rsidP="00A80503">
      <w:pPr>
        <w:shd w:val="clear" w:color="auto" w:fill="FFFFFF"/>
        <w:spacing w:after="120"/>
        <w:ind w:left="413"/>
        <w:rPr>
          <w:rFonts w:ascii="SkolaSans" w:hAnsi="SkolaSans"/>
          <w:color w:val="FF0000"/>
          <w:sz w:val="22"/>
          <w:szCs w:val="22"/>
          <w:lang w:val="mk-MK"/>
        </w:rPr>
      </w:pPr>
    </w:p>
    <w:p w:rsidR="00FD4968" w:rsidRPr="0098661A" w:rsidRDefault="000B4A54" w:rsidP="00FD4968">
      <w:pPr>
        <w:pStyle w:val="ListParagraph"/>
        <w:numPr>
          <w:ilvl w:val="0"/>
          <w:numId w:val="27"/>
        </w:numPr>
        <w:shd w:val="clear" w:color="auto" w:fill="FFFFFF"/>
        <w:spacing w:after="120"/>
        <w:jc w:val="both"/>
        <w:rPr>
          <w:rFonts w:ascii="SkolaSans" w:hAnsi="SkolaSans"/>
          <w:sz w:val="22"/>
          <w:szCs w:val="22"/>
        </w:rPr>
      </w:pPr>
      <w:r w:rsidRPr="00E81F86">
        <w:rPr>
          <w:rFonts w:ascii="SkolaSans" w:hAnsi="SkolaSans"/>
          <w:sz w:val="22"/>
          <w:szCs w:val="22"/>
          <w:lang w:val="mk-MK"/>
        </w:rPr>
        <w:t xml:space="preserve">При процената дали концентрацијата спаѓа во некоја од категориите наведени во точка </w:t>
      </w:r>
      <w:r w:rsidR="00D06EBB" w:rsidRPr="00E81F86">
        <w:rPr>
          <w:rFonts w:ascii="SkolaSans" w:hAnsi="SkolaSans"/>
          <w:sz w:val="22"/>
          <w:szCs w:val="22"/>
          <w:lang w:val="mk-MK"/>
        </w:rPr>
        <w:t>6 и7</w:t>
      </w:r>
      <w:r w:rsidRPr="00E81F86">
        <w:rPr>
          <w:rFonts w:ascii="SkolaSans" w:hAnsi="SkolaSans"/>
          <w:sz w:val="22"/>
          <w:szCs w:val="22"/>
          <w:lang w:val="mk-MK"/>
        </w:rPr>
        <w:t>, Комисијата ќе обезбеди дека сите соодветни околности се утврдени со доволна јасност.</w:t>
      </w:r>
      <w:r w:rsidRPr="00E81F86">
        <w:rPr>
          <w:rFonts w:ascii="SkolaSans" w:hAnsi="SkolaSans"/>
          <w:spacing w:val="-3"/>
          <w:sz w:val="22"/>
          <w:szCs w:val="22"/>
        </w:rPr>
        <w:t xml:space="preserve"> </w:t>
      </w:r>
      <w:r w:rsidRPr="00E81F86">
        <w:rPr>
          <w:rFonts w:ascii="SkolaSans" w:hAnsi="SkolaSans"/>
          <w:spacing w:val="-3"/>
          <w:sz w:val="22"/>
          <w:szCs w:val="22"/>
          <w:lang w:val="mk-MK"/>
        </w:rPr>
        <w:t xml:space="preserve">Со оглед на тоа што </w:t>
      </w:r>
      <w:r w:rsidRPr="00E81F86">
        <w:rPr>
          <w:rFonts w:ascii="SkolaSans" w:hAnsi="SkolaSans"/>
          <w:sz w:val="22"/>
          <w:szCs w:val="22"/>
          <w:lang w:val="mk-MK"/>
        </w:rPr>
        <w:t xml:space="preserve">дефинициите за релевантен пазар </w:t>
      </w:r>
      <w:r w:rsidR="004054D3" w:rsidRPr="00E81F86">
        <w:rPr>
          <w:rFonts w:ascii="SkolaSans" w:hAnsi="SkolaSans"/>
          <w:sz w:val="22"/>
          <w:szCs w:val="22"/>
          <w:lang w:val="mk-MK"/>
        </w:rPr>
        <w:t>е веројатно да бидат</w:t>
      </w:r>
      <w:r w:rsidRPr="00E81F86">
        <w:rPr>
          <w:rFonts w:ascii="SkolaSans" w:hAnsi="SkolaSans"/>
          <w:sz w:val="22"/>
          <w:szCs w:val="22"/>
          <w:lang w:val="mk-MK"/>
        </w:rPr>
        <w:t xml:space="preserve"> клучниот елемент во оваа процена, учесниците во концентрацијата треба да достават информации за сите </w:t>
      </w:r>
      <w:r w:rsidRPr="00E81F86">
        <w:rPr>
          <w:rFonts w:ascii="SkolaSans" w:hAnsi="SkolaSans"/>
          <w:spacing w:val="-4"/>
          <w:sz w:val="22"/>
          <w:szCs w:val="22"/>
          <w:lang w:val="mk-MK"/>
        </w:rPr>
        <w:t>остварлив</w:t>
      </w:r>
      <w:r w:rsidRPr="00E81F86">
        <w:rPr>
          <w:rFonts w:ascii="SkolaSans" w:hAnsi="SkolaSans"/>
          <w:spacing w:val="-3"/>
          <w:sz w:val="22"/>
          <w:szCs w:val="22"/>
          <w:lang w:val="mk-MK"/>
        </w:rPr>
        <w:t xml:space="preserve">и </w:t>
      </w:r>
      <w:r w:rsidRPr="00E81F86">
        <w:rPr>
          <w:rFonts w:ascii="SkolaSans" w:hAnsi="SkolaSans"/>
          <w:sz w:val="22"/>
          <w:szCs w:val="22"/>
          <w:lang w:val="mk-MK"/>
        </w:rPr>
        <w:t>алтернативни дефиниции за релевантен пазар</w:t>
      </w:r>
      <w:r w:rsidR="00E81F86" w:rsidRPr="00E81F86">
        <w:rPr>
          <w:rFonts w:ascii="SkolaSans" w:hAnsi="SkolaSans"/>
          <w:sz w:val="22"/>
          <w:szCs w:val="22"/>
          <w:lang w:val="mk-MK"/>
        </w:rPr>
        <w:t>.</w:t>
      </w:r>
      <w:r w:rsidRPr="00E81F86">
        <w:rPr>
          <w:rFonts w:ascii="SkolaSans" w:hAnsi="SkolaSans"/>
          <w:spacing w:val="-4"/>
          <w:sz w:val="22"/>
          <w:szCs w:val="22"/>
        </w:rPr>
        <w:t xml:space="preserve"> </w:t>
      </w:r>
      <w:r w:rsidRPr="00E81F86">
        <w:rPr>
          <w:rFonts w:ascii="SkolaSans" w:hAnsi="SkolaSans"/>
          <w:sz w:val="22"/>
          <w:szCs w:val="22"/>
          <w:lang w:val="mk-MK"/>
        </w:rPr>
        <w:t>Учесниците во концентрацијата се одговорни за опис на сите соодветни алтернативни релевантни пазари на стоки и географски пазари врз кои концентрацијата за која е поднесено  известување може да има влијание, а исто така и за обезбедување на податоци и информации поврзани со дефинирањето на таквите пазари.</w:t>
      </w:r>
      <w:r w:rsidRPr="00E81F86">
        <w:rPr>
          <w:rFonts w:ascii="SkolaSans" w:hAnsi="SkolaSans"/>
          <w:color w:val="1A171B"/>
          <w:spacing w:val="-4"/>
          <w:sz w:val="22"/>
          <w:szCs w:val="22"/>
          <w:lang w:val="mk-MK"/>
        </w:rPr>
        <w:t xml:space="preserve"> </w:t>
      </w:r>
      <w:r w:rsidRPr="00E81F86">
        <w:rPr>
          <w:rFonts w:ascii="SkolaSans" w:hAnsi="SkolaSans"/>
          <w:sz w:val="22"/>
          <w:szCs w:val="22"/>
          <w:lang w:val="mk-MK"/>
        </w:rPr>
        <w:t xml:space="preserve">Комисијата го задржува </w:t>
      </w:r>
      <w:r w:rsidRPr="00E81F86">
        <w:rPr>
          <w:rFonts w:ascii="SkolaSans" w:hAnsi="SkolaSans"/>
          <w:color w:val="1A171B"/>
          <w:spacing w:val="-3"/>
          <w:sz w:val="22"/>
          <w:szCs w:val="22"/>
          <w:lang w:val="mk-MK"/>
        </w:rPr>
        <w:t>правото</w:t>
      </w:r>
      <w:r w:rsidRPr="00E81F86">
        <w:rPr>
          <w:rFonts w:ascii="SkolaSans" w:hAnsi="SkolaSans"/>
          <w:sz w:val="22"/>
          <w:szCs w:val="22"/>
          <w:lang w:val="mk-MK"/>
        </w:rPr>
        <w:t xml:space="preserve"> да донесе конечна одлука во однос на дефинирањето на релевантниот  пазар врз основа на анализа на фактите за дадениот случај.</w:t>
      </w:r>
      <w:r w:rsidRPr="00E81F86">
        <w:rPr>
          <w:rFonts w:ascii="SkolaSans" w:hAnsi="SkolaSans"/>
          <w:color w:val="1A171B"/>
          <w:sz w:val="22"/>
          <w:szCs w:val="22"/>
          <w:lang w:val="mk-MK"/>
        </w:rPr>
        <w:t xml:space="preserve"> </w:t>
      </w:r>
      <w:r w:rsidRPr="00E81F86">
        <w:rPr>
          <w:rFonts w:ascii="SkolaSans" w:hAnsi="SkolaSans"/>
          <w:sz w:val="22"/>
          <w:szCs w:val="22"/>
          <w:lang w:val="mk-MK"/>
        </w:rPr>
        <w:t xml:space="preserve">Кога е тешко да се дефинираат релевантните пазари или да се утврдат пазарните удели на учесниците во концентрацијата, Комисијата </w:t>
      </w:r>
      <w:r w:rsidR="00100EDA" w:rsidRPr="0098661A">
        <w:rPr>
          <w:rFonts w:ascii="SkolaSans" w:hAnsi="SkolaSans"/>
          <w:sz w:val="22"/>
          <w:szCs w:val="22"/>
          <w:lang w:val="mk-MK"/>
        </w:rPr>
        <w:t xml:space="preserve">вообичаено нема да донесе решение согласно овие Насоки. </w:t>
      </w:r>
      <w:r w:rsidRPr="0098661A">
        <w:rPr>
          <w:rFonts w:ascii="SkolaSans" w:hAnsi="SkolaSans"/>
          <w:color w:val="1A171B"/>
          <w:spacing w:val="-4"/>
          <w:sz w:val="22"/>
          <w:szCs w:val="22"/>
          <w:lang w:val="mk-MK"/>
        </w:rPr>
        <w:t>Освен тоа</w:t>
      </w:r>
      <w:r w:rsidRPr="0098661A">
        <w:rPr>
          <w:rFonts w:ascii="SkolaSans" w:hAnsi="SkolaSans"/>
          <w:color w:val="1A171B"/>
          <w:spacing w:val="-3"/>
          <w:sz w:val="22"/>
          <w:szCs w:val="22"/>
          <w:lang w:val="mk-MK"/>
        </w:rPr>
        <w:t>, доколку</w:t>
      </w:r>
      <w:r w:rsidRPr="0098661A">
        <w:rPr>
          <w:rFonts w:ascii="SkolaSans" w:hAnsi="SkolaSans"/>
          <w:sz w:val="22"/>
          <w:szCs w:val="22"/>
          <w:lang w:val="mk-MK"/>
        </w:rPr>
        <w:t xml:space="preserve"> концентрациите вклучуваат нови правни прашања од јавен интерес, Комисијата вообичаено </w:t>
      </w:r>
      <w:r w:rsidR="0098661A">
        <w:rPr>
          <w:rFonts w:ascii="SkolaSans" w:hAnsi="SkolaSans"/>
          <w:sz w:val="22"/>
          <w:szCs w:val="22"/>
          <w:lang w:val="mk-MK"/>
        </w:rPr>
        <w:t>нема да донесе</w:t>
      </w:r>
      <w:r w:rsidRPr="0098661A">
        <w:rPr>
          <w:rFonts w:ascii="SkolaSans" w:hAnsi="SkolaSans"/>
          <w:sz w:val="22"/>
          <w:szCs w:val="22"/>
          <w:lang w:val="mk-MK"/>
        </w:rPr>
        <w:t xml:space="preserve"> решение </w:t>
      </w:r>
      <w:r w:rsidR="00100EDA" w:rsidRPr="0098661A">
        <w:rPr>
          <w:rFonts w:ascii="SkolaSans" w:hAnsi="SkolaSans"/>
          <w:sz w:val="22"/>
          <w:szCs w:val="22"/>
          <w:lang w:val="mk-MK"/>
        </w:rPr>
        <w:t xml:space="preserve">согласно овие Насоки. </w:t>
      </w:r>
    </w:p>
    <w:p w:rsidR="0098661A" w:rsidRPr="00E81F86" w:rsidRDefault="0098661A" w:rsidP="0098661A">
      <w:pPr>
        <w:pStyle w:val="ListParagraph"/>
        <w:shd w:val="clear" w:color="auto" w:fill="FFFFFF"/>
        <w:spacing w:after="120"/>
        <w:jc w:val="both"/>
        <w:rPr>
          <w:rFonts w:ascii="SkolaSans" w:hAnsi="SkolaSans"/>
          <w:sz w:val="22"/>
          <w:szCs w:val="22"/>
        </w:rPr>
      </w:pPr>
    </w:p>
    <w:p w:rsidR="0036578F" w:rsidRPr="00FD4968" w:rsidRDefault="000B4A54" w:rsidP="00D06EBB">
      <w:pPr>
        <w:pStyle w:val="ListParagraph"/>
        <w:numPr>
          <w:ilvl w:val="0"/>
          <w:numId w:val="27"/>
        </w:numPr>
        <w:shd w:val="clear" w:color="auto" w:fill="FFFFFF"/>
        <w:tabs>
          <w:tab w:val="left" w:pos="540"/>
        </w:tabs>
        <w:spacing w:after="120"/>
        <w:jc w:val="both"/>
        <w:rPr>
          <w:rFonts w:ascii="SkolaSans" w:hAnsi="SkolaSans"/>
          <w:sz w:val="22"/>
          <w:szCs w:val="22"/>
          <w:lang w:val="mk-MK"/>
        </w:rPr>
      </w:pPr>
      <w:r w:rsidRPr="00FD4968">
        <w:rPr>
          <w:rFonts w:ascii="SkolaSans" w:hAnsi="SkolaSans"/>
          <w:sz w:val="22"/>
          <w:szCs w:val="22"/>
          <w:lang w:val="mk-MK"/>
        </w:rPr>
        <w:t xml:space="preserve">Иако може да се претпостави дека концентрациите кои ги исполнуваат условите од  </w:t>
      </w:r>
      <w:r w:rsidRPr="0098661A">
        <w:rPr>
          <w:rFonts w:ascii="SkolaSans" w:hAnsi="SkolaSans"/>
          <w:sz w:val="22"/>
          <w:szCs w:val="22"/>
          <w:lang w:val="mk-MK"/>
        </w:rPr>
        <w:t xml:space="preserve">точка </w:t>
      </w:r>
      <w:r w:rsidR="00100EDA" w:rsidRPr="0098661A">
        <w:rPr>
          <w:rFonts w:ascii="SkolaSans" w:hAnsi="SkolaSans"/>
          <w:sz w:val="22"/>
          <w:szCs w:val="22"/>
          <w:lang w:val="mk-MK"/>
        </w:rPr>
        <w:t>6</w:t>
      </w:r>
      <w:r w:rsidR="004054D3" w:rsidRPr="0098661A">
        <w:rPr>
          <w:rFonts w:ascii="SkolaSans" w:hAnsi="SkolaSans"/>
          <w:sz w:val="22"/>
          <w:szCs w:val="22"/>
          <w:lang w:val="mk-MK"/>
        </w:rPr>
        <w:t xml:space="preserve"> и </w:t>
      </w:r>
      <w:r w:rsidR="00100EDA" w:rsidRPr="0098661A">
        <w:rPr>
          <w:rFonts w:ascii="SkolaSans" w:hAnsi="SkolaSans"/>
          <w:sz w:val="22"/>
          <w:szCs w:val="22"/>
          <w:lang w:val="mk-MK"/>
        </w:rPr>
        <w:t>7</w:t>
      </w:r>
      <w:r w:rsidRPr="0098661A">
        <w:rPr>
          <w:rFonts w:ascii="SkolaSans" w:hAnsi="SkolaSans"/>
          <w:sz w:val="22"/>
          <w:szCs w:val="22"/>
          <w:lang w:val="mk-MK"/>
        </w:rPr>
        <w:t xml:space="preserve"> нема</w:t>
      </w:r>
      <w:r w:rsidRPr="00FD4968">
        <w:rPr>
          <w:rFonts w:ascii="SkolaSans" w:hAnsi="SkolaSans"/>
          <w:sz w:val="22"/>
          <w:szCs w:val="22"/>
          <w:lang w:val="mk-MK"/>
        </w:rPr>
        <w:t xml:space="preserve"> да предизвикаат сериозно сомневање дали истите се во согласност со одредбите на Законот, сепак би можеле да постојат одредени ситуации кои </w:t>
      </w:r>
      <w:r w:rsidRPr="00FD4968">
        <w:rPr>
          <w:rFonts w:ascii="SkolaSans" w:hAnsi="SkolaSans"/>
          <w:spacing w:val="-5"/>
          <w:sz w:val="22"/>
          <w:szCs w:val="22"/>
          <w:lang w:val="mk-MK"/>
        </w:rPr>
        <w:t>бараат</w:t>
      </w:r>
      <w:r w:rsidRPr="00FD4968">
        <w:rPr>
          <w:rFonts w:ascii="SkolaSans" w:hAnsi="SkolaSans"/>
          <w:sz w:val="22"/>
          <w:szCs w:val="22"/>
          <w:lang w:val="mk-MK"/>
        </w:rPr>
        <w:t xml:space="preserve"> </w:t>
      </w:r>
      <w:r w:rsidR="007A5911" w:rsidRPr="00FD4968">
        <w:rPr>
          <w:rFonts w:ascii="SkolaSans" w:hAnsi="SkolaSans"/>
          <w:sz w:val="22"/>
          <w:szCs w:val="22"/>
          <w:lang w:val="mk-MK"/>
        </w:rPr>
        <w:t xml:space="preserve">поведување на  </w:t>
      </w:r>
      <w:r w:rsidR="0098661A">
        <w:rPr>
          <w:rFonts w:ascii="SkolaSans" w:hAnsi="SkolaSans"/>
          <w:sz w:val="22"/>
          <w:szCs w:val="22"/>
          <w:lang w:val="mk-MK"/>
        </w:rPr>
        <w:t>постапка.</w:t>
      </w:r>
    </w:p>
    <w:p w:rsidR="00FD4968" w:rsidRPr="00FD4968" w:rsidRDefault="00FD4968" w:rsidP="00FD4968">
      <w:pPr>
        <w:pStyle w:val="ListParagraph"/>
        <w:rPr>
          <w:rFonts w:ascii="SkolaSans" w:hAnsi="SkolaSans"/>
          <w:sz w:val="22"/>
          <w:szCs w:val="22"/>
          <w:lang w:val="mk-MK"/>
        </w:rPr>
      </w:pPr>
    </w:p>
    <w:p w:rsidR="00FD4968" w:rsidRPr="0098661A" w:rsidRDefault="000B4A54" w:rsidP="00FD4968">
      <w:pPr>
        <w:pStyle w:val="ListParagraph"/>
        <w:numPr>
          <w:ilvl w:val="0"/>
          <w:numId w:val="27"/>
        </w:numPr>
        <w:shd w:val="clear" w:color="auto" w:fill="FFFFFF"/>
        <w:tabs>
          <w:tab w:val="left" w:pos="540"/>
        </w:tabs>
        <w:spacing w:after="120"/>
        <w:jc w:val="both"/>
        <w:rPr>
          <w:rFonts w:ascii="SkolaSans" w:hAnsi="SkolaSans"/>
          <w:sz w:val="22"/>
          <w:szCs w:val="22"/>
        </w:rPr>
      </w:pPr>
      <w:r w:rsidRPr="0098661A">
        <w:rPr>
          <w:rFonts w:ascii="SkolaSans" w:hAnsi="SkolaSans"/>
          <w:sz w:val="22"/>
          <w:szCs w:val="22"/>
          <w:lang w:val="mk-MK"/>
        </w:rPr>
        <w:t xml:space="preserve">Следните примери се примери на видови случаи за кои може </w:t>
      </w:r>
      <w:r w:rsidR="00100EDA" w:rsidRPr="0098661A">
        <w:rPr>
          <w:rFonts w:ascii="SkolaSans" w:hAnsi="SkolaSans"/>
          <w:sz w:val="22"/>
          <w:szCs w:val="22"/>
          <w:lang w:val="mk-MK"/>
        </w:rPr>
        <w:t>Комисијата да не донесе решение согласно ови</w:t>
      </w:r>
      <w:r w:rsidR="00317F44">
        <w:rPr>
          <w:rFonts w:ascii="SkolaSans" w:hAnsi="SkolaSans"/>
          <w:sz w:val="22"/>
          <w:szCs w:val="22"/>
        </w:rPr>
        <w:t>e</w:t>
      </w:r>
      <w:r w:rsidR="00100EDA" w:rsidRPr="0098661A">
        <w:rPr>
          <w:rFonts w:ascii="SkolaSans" w:hAnsi="SkolaSans"/>
          <w:sz w:val="22"/>
          <w:szCs w:val="22"/>
          <w:lang w:val="mk-MK"/>
        </w:rPr>
        <w:t xml:space="preserve"> Насоки. </w:t>
      </w:r>
    </w:p>
    <w:p w:rsidR="0098661A" w:rsidRPr="0098661A" w:rsidRDefault="0098661A" w:rsidP="0098661A">
      <w:pPr>
        <w:pStyle w:val="ListParagraph"/>
        <w:rPr>
          <w:rFonts w:ascii="SkolaSans" w:hAnsi="SkolaSans"/>
          <w:sz w:val="22"/>
          <w:szCs w:val="22"/>
        </w:rPr>
      </w:pPr>
    </w:p>
    <w:p w:rsidR="004054D3" w:rsidRPr="0098661A" w:rsidRDefault="004054D3" w:rsidP="00D06EBB">
      <w:pPr>
        <w:pStyle w:val="ListParagraph"/>
        <w:numPr>
          <w:ilvl w:val="0"/>
          <w:numId w:val="27"/>
        </w:numPr>
        <w:shd w:val="clear" w:color="auto" w:fill="FFFFFF"/>
        <w:spacing w:after="120"/>
        <w:jc w:val="both"/>
        <w:rPr>
          <w:rFonts w:ascii="SkolaSans" w:hAnsi="SkolaSans"/>
          <w:sz w:val="22"/>
          <w:szCs w:val="22"/>
          <w:lang w:val="mk-MK"/>
        </w:rPr>
      </w:pPr>
      <w:r w:rsidRPr="0098661A">
        <w:rPr>
          <w:rFonts w:ascii="SkolaSans" w:hAnsi="SkolaSans"/>
          <w:sz w:val="22"/>
          <w:szCs w:val="22"/>
          <w:lang w:val="mk-MK"/>
        </w:rPr>
        <w:t xml:space="preserve">Малку е веројатно дека Комисијата </w:t>
      </w:r>
      <w:r w:rsidR="00305612" w:rsidRPr="0098661A">
        <w:rPr>
          <w:rFonts w:ascii="SkolaSans" w:hAnsi="SkolaSans"/>
          <w:sz w:val="22"/>
          <w:szCs w:val="22"/>
          <w:lang w:val="mk-MK"/>
        </w:rPr>
        <w:t>ќе</w:t>
      </w:r>
      <w:r w:rsidR="00FD4968" w:rsidRPr="0098661A">
        <w:rPr>
          <w:rFonts w:ascii="SkolaSans" w:hAnsi="SkolaSans"/>
          <w:sz w:val="22"/>
          <w:szCs w:val="22"/>
          <w:lang w:val="mk-MK"/>
        </w:rPr>
        <w:t xml:space="preserve"> донесе решени</w:t>
      </w:r>
      <w:r w:rsidRPr="0098661A">
        <w:rPr>
          <w:rFonts w:ascii="SkolaSans" w:hAnsi="SkolaSans"/>
          <w:sz w:val="22"/>
          <w:szCs w:val="22"/>
          <w:lang w:val="mk-MK"/>
        </w:rPr>
        <w:t xml:space="preserve">е </w:t>
      </w:r>
      <w:r w:rsidR="00100EDA" w:rsidRPr="0098661A">
        <w:rPr>
          <w:rFonts w:ascii="SkolaSans" w:hAnsi="SkolaSans"/>
          <w:sz w:val="22"/>
          <w:szCs w:val="22"/>
          <w:lang w:val="mk-MK"/>
        </w:rPr>
        <w:t xml:space="preserve">согласно овие Насоки </w:t>
      </w:r>
      <w:r w:rsidRPr="0098661A">
        <w:rPr>
          <w:rFonts w:ascii="SkolaSans" w:hAnsi="SkolaSans"/>
          <w:sz w:val="22"/>
          <w:szCs w:val="22"/>
          <w:lang w:val="mk-MK"/>
        </w:rPr>
        <w:t xml:space="preserve">за концентрација доколку </w:t>
      </w:r>
      <w:r w:rsidR="00305612" w:rsidRPr="0098661A">
        <w:rPr>
          <w:rFonts w:ascii="SkolaSans" w:hAnsi="SkolaSans"/>
          <w:sz w:val="22"/>
          <w:szCs w:val="22"/>
          <w:lang w:val="mk-MK"/>
        </w:rPr>
        <w:t>постои/ е присут</w:t>
      </w:r>
      <w:r w:rsidR="00317F44">
        <w:rPr>
          <w:rFonts w:ascii="SkolaSans" w:hAnsi="SkolaSans"/>
          <w:sz w:val="22"/>
          <w:szCs w:val="22"/>
          <w:lang w:val="mk-MK"/>
        </w:rPr>
        <w:t>на</w:t>
      </w:r>
      <w:r w:rsidR="00305612" w:rsidRPr="0098661A">
        <w:rPr>
          <w:rFonts w:ascii="SkolaSans" w:hAnsi="SkolaSans"/>
          <w:sz w:val="22"/>
          <w:szCs w:val="22"/>
          <w:lang w:val="mk-MK"/>
        </w:rPr>
        <w:t xml:space="preserve"> </w:t>
      </w:r>
      <w:r w:rsidRPr="0098661A">
        <w:rPr>
          <w:rFonts w:ascii="SkolaSans" w:hAnsi="SkolaSans"/>
          <w:sz w:val="22"/>
          <w:szCs w:val="22"/>
          <w:lang w:val="mk-MK"/>
        </w:rPr>
        <w:t>некој</w:t>
      </w:r>
      <w:r w:rsidR="00305612" w:rsidRPr="0098661A">
        <w:rPr>
          <w:rFonts w:ascii="SkolaSans" w:hAnsi="SkolaSans"/>
          <w:sz w:val="22"/>
          <w:szCs w:val="22"/>
          <w:lang w:val="mk-MK"/>
        </w:rPr>
        <w:t>а</w:t>
      </w:r>
      <w:r w:rsidRPr="0098661A">
        <w:rPr>
          <w:rFonts w:ascii="SkolaSans" w:hAnsi="SkolaSans"/>
          <w:sz w:val="22"/>
          <w:szCs w:val="22"/>
          <w:lang w:val="mk-MK"/>
        </w:rPr>
        <w:t xml:space="preserve"> од посебните околности </w:t>
      </w:r>
      <w:r w:rsidR="00305612" w:rsidRPr="0098661A">
        <w:rPr>
          <w:rFonts w:ascii="SkolaSans" w:hAnsi="SkolaSans"/>
          <w:sz w:val="22"/>
          <w:szCs w:val="22"/>
          <w:lang w:val="mk-MK"/>
        </w:rPr>
        <w:t>наведени во Насоките за оценка на хоризонталните концентрации за целите на Законот. Ова вклучува случаи каде пазарот е веќе концентриран, кога концентрацијата би елиминирала значајна конкурентска сила, кога концентрацијата за која е поднесено известувањето претставува концентрација помеѓу двајца важни иноватори, или кога има индикации дека концентрацијата за која е поднесено известувањето ќе им овозможи на претпријатијата кои се спојуваат да ја загрозат експанзијата на нивните конкуренти.</w:t>
      </w:r>
    </w:p>
    <w:p w:rsidR="00FD4968" w:rsidRPr="00FD4968" w:rsidRDefault="00FD4968" w:rsidP="00FD4968">
      <w:pPr>
        <w:pStyle w:val="ListParagraph"/>
        <w:rPr>
          <w:rFonts w:ascii="SkolaSans" w:hAnsi="SkolaSans"/>
          <w:color w:val="FF0000"/>
          <w:sz w:val="22"/>
          <w:szCs w:val="22"/>
          <w:lang w:val="mk-MK"/>
        </w:rPr>
      </w:pPr>
    </w:p>
    <w:p w:rsidR="004054D3" w:rsidRPr="0098661A" w:rsidRDefault="00305612" w:rsidP="00D06EBB">
      <w:pPr>
        <w:pStyle w:val="ListParagraph"/>
        <w:numPr>
          <w:ilvl w:val="0"/>
          <w:numId w:val="27"/>
        </w:numPr>
        <w:shd w:val="clear" w:color="auto" w:fill="FFFFFF"/>
        <w:spacing w:after="120"/>
        <w:jc w:val="both"/>
        <w:rPr>
          <w:rFonts w:ascii="SkolaSans" w:hAnsi="SkolaSans"/>
          <w:sz w:val="22"/>
          <w:szCs w:val="22"/>
          <w:lang w:val="mk-MK"/>
        </w:rPr>
      </w:pPr>
      <w:r w:rsidRPr="0098661A">
        <w:rPr>
          <w:rFonts w:ascii="SkolaSans" w:hAnsi="SkolaSans"/>
          <w:sz w:val="22"/>
          <w:szCs w:val="22"/>
          <w:lang w:val="mk-MK"/>
        </w:rPr>
        <w:t xml:space="preserve">Истото може да се примени и кога не е можно прецизно да се утврди пазарниот удел на учесниците во концентрацијата. Ова честопати е </w:t>
      </w:r>
      <w:r w:rsidRPr="0098661A">
        <w:rPr>
          <w:rFonts w:ascii="SkolaSans" w:hAnsi="SkolaSans"/>
          <w:sz w:val="22"/>
          <w:szCs w:val="22"/>
          <w:lang w:val="mk-MK"/>
        </w:rPr>
        <w:lastRenderedPageBreak/>
        <w:t xml:space="preserve">случај кога учесниците во спојувањето делуваат на нови или </w:t>
      </w:r>
      <w:r w:rsidR="00811DE6" w:rsidRPr="0098661A">
        <w:rPr>
          <w:rFonts w:ascii="SkolaSans" w:hAnsi="SkolaSans"/>
          <w:sz w:val="22"/>
          <w:szCs w:val="22"/>
          <w:lang w:val="mk-MK"/>
        </w:rPr>
        <w:t>слабо</w:t>
      </w:r>
      <w:r w:rsidRPr="0098661A">
        <w:rPr>
          <w:rFonts w:ascii="SkolaSans" w:hAnsi="SkolaSans"/>
          <w:sz w:val="22"/>
          <w:szCs w:val="22"/>
          <w:lang w:val="mk-MK"/>
        </w:rPr>
        <w:t xml:space="preserve"> развиени пазари</w:t>
      </w:r>
      <w:r w:rsidR="00100EDA" w:rsidRPr="0098661A">
        <w:rPr>
          <w:rFonts w:ascii="SkolaSans" w:hAnsi="SkolaSans"/>
          <w:sz w:val="22"/>
          <w:szCs w:val="22"/>
          <w:lang w:val="mk-MK"/>
        </w:rPr>
        <w:t>.</w:t>
      </w:r>
    </w:p>
    <w:p w:rsidR="00FD4968" w:rsidRPr="00FD4968" w:rsidRDefault="00FD4968" w:rsidP="00FD4968">
      <w:pPr>
        <w:pStyle w:val="ListParagraph"/>
        <w:rPr>
          <w:rFonts w:ascii="SkolaSans" w:hAnsi="SkolaSans"/>
          <w:color w:val="4F81BD" w:themeColor="accent1"/>
          <w:sz w:val="22"/>
          <w:szCs w:val="22"/>
          <w:lang w:val="mk-MK"/>
        </w:rPr>
      </w:pPr>
    </w:p>
    <w:p w:rsidR="0036578F" w:rsidRDefault="000B4A54" w:rsidP="00D06EBB">
      <w:pPr>
        <w:pStyle w:val="ListParagraph"/>
        <w:numPr>
          <w:ilvl w:val="0"/>
          <w:numId w:val="27"/>
        </w:numPr>
        <w:shd w:val="clear" w:color="auto" w:fill="FFFFFF"/>
        <w:spacing w:after="120"/>
        <w:jc w:val="both"/>
        <w:rPr>
          <w:rFonts w:ascii="SkolaSans" w:hAnsi="SkolaSans"/>
          <w:sz w:val="22"/>
          <w:szCs w:val="22"/>
          <w:lang w:val="mk-MK"/>
        </w:rPr>
      </w:pPr>
      <w:r w:rsidRPr="00FD4968">
        <w:rPr>
          <w:rFonts w:ascii="SkolaSans" w:hAnsi="SkolaSans"/>
          <w:sz w:val="22"/>
          <w:szCs w:val="22"/>
          <w:lang w:val="mk-MK"/>
        </w:rPr>
        <w:t>Одредени видови концентрации можат да ја зголемат пазарната моќ на учесниците во концентрацијата, на пример преку комбинирање на технолошки, финансиски или други ресурси, дури и кога учесниците во концентрација</w:t>
      </w:r>
      <w:r w:rsidR="00811DE6" w:rsidRPr="00FD4968">
        <w:rPr>
          <w:rFonts w:ascii="SkolaSans" w:hAnsi="SkolaSans"/>
          <w:sz w:val="22"/>
          <w:szCs w:val="22"/>
          <w:lang w:val="mk-MK"/>
        </w:rPr>
        <w:t>та не делуваат на истиот пазар.</w:t>
      </w:r>
      <w:r w:rsidR="00432561">
        <w:rPr>
          <w:rFonts w:ascii="SkolaSans" w:hAnsi="SkolaSans"/>
          <w:sz w:val="22"/>
          <w:szCs w:val="22"/>
          <w:lang w:val="mk-MK"/>
        </w:rPr>
        <w:t xml:space="preserve"> </w:t>
      </w:r>
      <w:r w:rsidRPr="00FD4968">
        <w:rPr>
          <w:rFonts w:ascii="SkolaSans" w:hAnsi="SkolaSans"/>
          <w:sz w:val="22"/>
          <w:szCs w:val="22"/>
          <w:lang w:val="mk-MK"/>
        </w:rPr>
        <w:t>Концентрациите кај кои најмалку двајца од учесниците во концентрацијата се присутни на тесно поврзани соседни пазари</w:t>
      </w:r>
      <w:r w:rsidRPr="006D308E">
        <w:rPr>
          <w:rStyle w:val="FootnoteReference"/>
          <w:rFonts w:ascii="SkolaSans" w:hAnsi="SkolaSans"/>
          <w:spacing w:val="-5"/>
          <w:sz w:val="22"/>
          <w:szCs w:val="22"/>
          <w:lang w:val="mk-MK"/>
        </w:rPr>
        <w:footnoteReference w:id="16"/>
      </w:r>
      <w:r w:rsidRPr="00FD4968">
        <w:rPr>
          <w:rFonts w:ascii="SkolaSans" w:hAnsi="SkolaSans"/>
          <w:sz w:val="22"/>
          <w:szCs w:val="22"/>
          <w:lang w:val="mk-MK"/>
        </w:rPr>
        <w:t xml:space="preserve">, исто така, може да се </w:t>
      </w:r>
      <w:r w:rsidRPr="00C34554">
        <w:rPr>
          <w:rFonts w:ascii="SkolaSans" w:hAnsi="SkolaSans"/>
          <w:sz w:val="22"/>
          <w:szCs w:val="22"/>
          <w:lang w:val="mk-MK"/>
        </w:rPr>
        <w:t xml:space="preserve">покажат несоодветни за </w:t>
      </w:r>
      <w:r w:rsidR="00E5459E" w:rsidRPr="00C34554">
        <w:rPr>
          <w:rFonts w:ascii="SkolaSans" w:hAnsi="SkolaSans"/>
          <w:sz w:val="22"/>
          <w:szCs w:val="22"/>
          <w:lang w:val="mk-MK"/>
        </w:rPr>
        <w:t xml:space="preserve">носење на решение </w:t>
      </w:r>
      <w:r w:rsidR="0098661A" w:rsidRPr="00C34554">
        <w:rPr>
          <w:rFonts w:ascii="SkolaSans" w:hAnsi="SkolaSans"/>
          <w:sz w:val="22"/>
          <w:szCs w:val="22"/>
          <w:lang w:val="mk-MK"/>
        </w:rPr>
        <w:t>согласно овие Н</w:t>
      </w:r>
      <w:r w:rsidR="00432561" w:rsidRPr="00C34554">
        <w:rPr>
          <w:rFonts w:ascii="SkolaSans" w:hAnsi="SkolaSans"/>
          <w:sz w:val="22"/>
          <w:szCs w:val="22"/>
          <w:lang w:val="mk-MK"/>
        </w:rPr>
        <w:t>асоки</w:t>
      </w:r>
      <w:r w:rsidRPr="00C34554">
        <w:rPr>
          <w:rFonts w:ascii="SkolaSans" w:hAnsi="SkolaSans"/>
          <w:sz w:val="22"/>
          <w:szCs w:val="22"/>
          <w:lang w:val="mk-MK"/>
        </w:rPr>
        <w:t>, особено к</w:t>
      </w:r>
      <w:r w:rsidRPr="00FD4968">
        <w:rPr>
          <w:rFonts w:ascii="SkolaSans" w:hAnsi="SkolaSans"/>
          <w:sz w:val="22"/>
          <w:szCs w:val="22"/>
          <w:lang w:val="mk-MK"/>
        </w:rPr>
        <w:t xml:space="preserve">ога еден или повеќе учесници во концентрацијата имаат индивидуален пазарен удел од </w:t>
      </w:r>
      <w:r w:rsidR="00811DE6" w:rsidRPr="00FD4968">
        <w:rPr>
          <w:rFonts w:ascii="SkolaSans" w:hAnsi="SkolaSans"/>
          <w:sz w:val="22"/>
          <w:szCs w:val="22"/>
          <w:lang w:val="mk-MK"/>
        </w:rPr>
        <w:t>30</w:t>
      </w:r>
      <w:r w:rsidRPr="00FD4968">
        <w:rPr>
          <w:rFonts w:ascii="SkolaSans" w:hAnsi="SkolaSans"/>
          <w:sz w:val="22"/>
          <w:szCs w:val="22"/>
          <w:lang w:val="mk-MK"/>
        </w:rPr>
        <w:t>% или повеќе на било кој пазар на стоки на кој нема хоризонтален или вертикален однос помеѓу учесниците, но кој е соседен пазар на пазарот на кој дејствува еден од учесниците</w:t>
      </w:r>
      <w:r w:rsidR="00811DE6" w:rsidRPr="006D308E">
        <w:rPr>
          <w:rStyle w:val="FootnoteReference"/>
          <w:rFonts w:ascii="SkolaSans" w:hAnsi="SkolaSans"/>
          <w:sz w:val="22"/>
          <w:szCs w:val="22"/>
          <w:lang w:val="mk-MK"/>
        </w:rPr>
        <w:footnoteReference w:id="17"/>
      </w:r>
      <w:r w:rsidRPr="00FD4968">
        <w:rPr>
          <w:rFonts w:ascii="SkolaSans" w:hAnsi="SkolaSans"/>
          <w:sz w:val="22"/>
          <w:szCs w:val="22"/>
          <w:lang w:val="mk-MK"/>
        </w:rPr>
        <w:t>;</w:t>
      </w:r>
    </w:p>
    <w:p w:rsidR="00FD4968" w:rsidRPr="00FD4968" w:rsidRDefault="00FD4968" w:rsidP="00FD4968">
      <w:pPr>
        <w:pStyle w:val="ListParagraph"/>
        <w:rPr>
          <w:rFonts w:ascii="SkolaSans" w:hAnsi="SkolaSans"/>
          <w:sz w:val="22"/>
          <w:szCs w:val="22"/>
          <w:lang w:val="mk-MK"/>
        </w:rPr>
      </w:pPr>
    </w:p>
    <w:p w:rsidR="00811DE6" w:rsidRPr="0098661A" w:rsidRDefault="000B4A54" w:rsidP="00D06EBB">
      <w:pPr>
        <w:pStyle w:val="ListParagraph"/>
        <w:numPr>
          <w:ilvl w:val="0"/>
          <w:numId w:val="27"/>
        </w:numPr>
        <w:shd w:val="clear" w:color="auto" w:fill="FFFFFF"/>
        <w:spacing w:after="120"/>
        <w:jc w:val="both"/>
        <w:rPr>
          <w:rFonts w:ascii="SkolaSans" w:hAnsi="SkolaSans"/>
          <w:sz w:val="22"/>
          <w:szCs w:val="22"/>
          <w:lang w:val="mk-MK"/>
        </w:rPr>
      </w:pPr>
      <w:r w:rsidRPr="0098661A">
        <w:rPr>
          <w:rFonts w:ascii="SkolaSans" w:hAnsi="SkolaSans"/>
          <w:sz w:val="22"/>
          <w:szCs w:val="22"/>
          <w:lang w:val="mk-MK"/>
        </w:rPr>
        <w:t xml:space="preserve">Несоодветни за </w:t>
      </w:r>
      <w:r w:rsidR="00E5459E" w:rsidRPr="0098661A">
        <w:rPr>
          <w:rFonts w:ascii="SkolaSans" w:hAnsi="SkolaSans"/>
          <w:sz w:val="22"/>
          <w:szCs w:val="22"/>
          <w:lang w:val="mk-MK"/>
        </w:rPr>
        <w:t xml:space="preserve">донесување решение </w:t>
      </w:r>
      <w:r w:rsidR="0098661A" w:rsidRPr="0098661A">
        <w:rPr>
          <w:rFonts w:ascii="SkolaSans" w:hAnsi="SkolaSans"/>
          <w:sz w:val="22"/>
          <w:szCs w:val="22"/>
          <w:lang w:val="mk-MK"/>
        </w:rPr>
        <w:t>согласно овие Н</w:t>
      </w:r>
      <w:r w:rsidR="00432561" w:rsidRPr="0098661A">
        <w:rPr>
          <w:rFonts w:ascii="SkolaSans" w:hAnsi="SkolaSans"/>
          <w:sz w:val="22"/>
          <w:szCs w:val="22"/>
          <w:lang w:val="mk-MK"/>
        </w:rPr>
        <w:t xml:space="preserve">асоки </w:t>
      </w:r>
      <w:r w:rsidRPr="0098661A">
        <w:rPr>
          <w:rFonts w:ascii="SkolaSans" w:hAnsi="SkolaSans"/>
          <w:sz w:val="22"/>
          <w:szCs w:val="22"/>
          <w:lang w:val="mk-MK"/>
        </w:rPr>
        <w:t xml:space="preserve">може да бидат и концентрации </w:t>
      </w:r>
      <w:r w:rsidR="00811DE6" w:rsidRPr="0098661A">
        <w:rPr>
          <w:rFonts w:ascii="SkolaSans" w:hAnsi="SkolaSans"/>
          <w:sz w:val="22"/>
          <w:szCs w:val="22"/>
          <w:lang w:val="mk-MK"/>
        </w:rPr>
        <w:t>за кои постои прашањето на усогласување на конкурентското однесување, како што е наведено во член 17 ста (5) од Законот.</w:t>
      </w:r>
    </w:p>
    <w:p w:rsidR="00FD4968" w:rsidRPr="0098661A" w:rsidRDefault="00FD4968" w:rsidP="00FD4968">
      <w:pPr>
        <w:pStyle w:val="ListParagraph"/>
        <w:rPr>
          <w:rFonts w:ascii="SkolaSans" w:hAnsi="SkolaSans"/>
          <w:color w:val="4F81BD" w:themeColor="accent1"/>
          <w:sz w:val="22"/>
          <w:szCs w:val="22"/>
          <w:lang w:val="mk-MK"/>
        </w:rPr>
      </w:pPr>
    </w:p>
    <w:p w:rsidR="00170E8F" w:rsidRPr="0098661A" w:rsidRDefault="000B4A54" w:rsidP="00D06EBB">
      <w:pPr>
        <w:pStyle w:val="ListParagraph"/>
        <w:numPr>
          <w:ilvl w:val="0"/>
          <w:numId w:val="27"/>
        </w:numPr>
        <w:shd w:val="clear" w:color="auto" w:fill="FFFFFF"/>
        <w:tabs>
          <w:tab w:val="left" w:pos="540"/>
        </w:tabs>
        <w:spacing w:after="120"/>
        <w:jc w:val="both"/>
        <w:rPr>
          <w:rFonts w:ascii="SkolaSans" w:hAnsi="SkolaSans"/>
          <w:sz w:val="22"/>
          <w:szCs w:val="22"/>
          <w:lang w:val="mk-MK"/>
        </w:rPr>
      </w:pPr>
      <w:r w:rsidRPr="0098661A">
        <w:rPr>
          <w:rFonts w:ascii="SkolaSans" w:hAnsi="SkolaSans"/>
          <w:sz w:val="22"/>
          <w:szCs w:val="22"/>
          <w:lang w:val="mk-MK"/>
        </w:rPr>
        <w:t xml:space="preserve">Промената од заедничка кон индивидуална контрола може, во исклучителни случаи, да бара </w:t>
      </w:r>
      <w:r w:rsidR="007A5911" w:rsidRPr="0098661A">
        <w:rPr>
          <w:rFonts w:ascii="SkolaSans" w:hAnsi="SkolaSans"/>
          <w:sz w:val="22"/>
          <w:szCs w:val="22"/>
          <w:lang w:val="mk-MK"/>
        </w:rPr>
        <w:t xml:space="preserve">поведување на </w:t>
      </w:r>
      <w:r w:rsidRPr="0098661A">
        <w:rPr>
          <w:rFonts w:ascii="SkolaSans" w:hAnsi="SkolaSans"/>
          <w:sz w:val="22"/>
          <w:szCs w:val="22"/>
          <w:lang w:val="mk-MK"/>
        </w:rPr>
        <w:t>постапка. Посебна загриженост за конкуренцијата може да се појави во околности каде што поранешното заедничко вложување е вклучено во групата или мрежата на единствениот преостанат акционер кој поседува контрола, додека ограничувањата на дисциплината кои произлегувале од потенцијално различните мотиви на различните акционери кои поседувале контрола се отстранети и неговата стратешка пазарна позиција би можела да биде зајакната. На пример, во случај кога претпријатието А и претпријатието Б заедно го контролираат заедничкото вложување В, концентрацијата согласно која А стекнува единствена контрола врз В може да предизвика загриженост во врска со конкуренцијата во околности кога В е директен конкурент на А и</w:t>
      </w:r>
      <w:r w:rsidR="003821C5" w:rsidRPr="0098661A">
        <w:rPr>
          <w:rFonts w:ascii="SkolaSans" w:hAnsi="SkolaSans"/>
          <w:sz w:val="22"/>
          <w:szCs w:val="22"/>
          <w:lang w:val="mk-MK"/>
        </w:rPr>
        <w:t xml:space="preserve"> каде</w:t>
      </w:r>
      <w:r w:rsidRPr="0098661A">
        <w:rPr>
          <w:rFonts w:ascii="SkolaSans" w:hAnsi="SkolaSans"/>
          <w:sz w:val="22"/>
          <w:szCs w:val="22"/>
          <w:lang w:val="mk-MK"/>
        </w:rPr>
        <w:t xml:space="preserve"> В и А заедно ќе имаат значителна заедничка позиција на пазарот и кога со ова се отстранува степенот на независност кој претходно го имал В. Во случаи кога ваквите примери бараат подетална анализа, </w:t>
      </w:r>
      <w:r w:rsidR="003821C5" w:rsidRPr="0098661A">
        <w:rPr>
          <w:rFonts w:ascii="SkolaSans" w:hAnsi="SkolaSans"/>
          <w:sz w:val="22"/>
          <w:szCs w:val="22"/>
          <w:lang w:val="mk-MK"/>
        </w:rPr>
        <w:t xml:space="preserve">тие се несоодветни за донесување решение </w:t>
      </w:r>
      <w:r w:rsidR="00432561" w:rsidRPr="0098661A">
        <w:rPr>
          <w:rFonts w:ascii="SkolaSans" w:hAnsi="SkolaSans"/>
          <w:sz w:val="22"/>
          <w:szCs w:val="22"/>
          <w:lang w:val="mk-MK"/>
        </w:rPr>
        <w:t>согласно овие Насоки</w:t>
      </w:r>
      <w:r w:rsidRPr="0098661A">
        <w:rPr>
          <w:rFonts w:ascii="SkolaSans" w:hAnsi="SkolaSans"/>
          <w:sz w:val="22"/>
          <w:szCs w:val="22"/>
          <w:lang w:val="mk-MK"/>
        </w:rPr>
        <w:t>.</w:t>
      </w:r>
    </w:p>
    <w:p w:rsidR="00FD4968" w:rsidRDefault="00FD4968" w:rsidP="00FD4968">
      <w:pPr>
        <w:pStyle w:val="ListParagraph"/>
        <w:shd w:val="clear" w:color="auto" w:fill="FFFFFF"/>
        <w:tabs>
          <w:tab w:val="left" w:pos="540"/>
        </w:tabs>
        <w:spacing w:after="120"/>
        <w:jc w:val="both"/>
        <w:rPr>
          <w:rFonts w:ascii="SkolaSans" w:hAnsi="SkolaSans"/>
          <w:sz w:val="22"/>
          <w:szCs w:val="22"/>
          <w:lang w:val="mk-MK"/>
        </w:rPr>
      </w:pPr>
    </w:p>
    <w:p w:rsidR="00776982" w:rsidRDefault="0098661A" w:rsidP="00D06EBB">
      <w:pPr>
        <w:pStyle w:val="ListParagraph"/>
        <w:numPr>
          <w:ilvl w:val="0"/>
          <w:numId w:val="27"/>
        </w:numPr>
        <w:shd w:val="clear" w:color="auto" w:fill="FFFFFF"/>
        <w:tabs>
          <w:tab w:val="left" w:pos="540"/>
        </w:tabs>
        <w:spacing w:after="120"/>
        <w:jc w:val="both"/>
        <w:rPr>
          <w:rFonts w:ascii="SkolaSans" w:hAnsi="SkolaSans"/>
          <w:sz w:val="22"/>
          <w:szCs w:val="22"/>
          <w:lang w:val="mk-MK"/>
        </w:rPr>
      </w:pPr>
      <w:r w:rsidRPr="0098661A">
        <w:rPr>
          <w:rFonts w:ascii="SkolaSans" w:hAnsi="SkolaSans"/>
          <w:sz w:val="22"/>
          <w:szCs w:val="22"/>
          <w:lang w:val="mk-MK"/>
        </w:rPr>
        <w:t xml:space="preserve">Комисијата нема да донесе </w:t>
      </w:r>
      <w:r w:rsidR="003821C5" w:rsidRPr="0098661A">
        <w:rPr>
          <w:rFonts w:ascii="SkolaSans" w:hAnsi="SkolaSans"/>
          <w:sz w:val="22"/>
          <w:szCs w:val="22"/>
          <w:lang w:val="mk-MK"/>
        </w:rPr>
        <w:t xml:space="preserve">решение </w:t>
      </w:r>
      <w:r w:rsidR="00432561" w:rsidRPr="0098661A">
        <w:rPr>
          <w:rFonts w:ascii="SkolaSans" w:hAnsi="SkolaSans"/>
          <w:sz w:val="22"/>
          <w:szCs w:val="22"/>
          <w:lang w:val="mk-MK"/>
        </w:rPr>
        <w:t>согласно овие Насоки</w:t>
      </w:r>
      <w:r w:rsidR="003821C5" w:rsidRPr="0098661A">
        <w:rPr>
          <w:rFonts w:ascii="SkolaSans" w:hAnsi="SkolaSans"/>
          <w:sz w:val="22"/>
          <w:szCs w:val="22"/>
          <w:lang w:val="mk-MK"/>
        </w:rPr>
        <w:t xml:space="preserve"> </w:t>
      </w:r>
      <w:r w:rsidRPr="0098661A">
        <w:rPr>
          <w:rFonts w:ascii="SkolaSans" w:hAnsi="SkolaSans"/>
          <w:sz w:val="22"/>
          <w:szCs w:val="22"/>
          <w:lang w:val="mk-MK"/>
        </w:rPr>
        <w:t>за</w:t>
      </w:r>
      <w:r w:rsidR="003821C5" w:rsidRPr="0098661A">
        <w:rPr>
          <w:rFonts w:ascii="SkolaSans" w:hAnsi="SkolaSans"/>
          <w:sz w:val="22"/>
          <w:szCs w:val="22"/>
          <w:lang w:val="mk-MK"/>
        </w:rPr>
        <w:t xml:space="preserve"> концентрации</w:t>
      </w:r>
      <w:r w:rsidRPr="0098661A">
        <w:rPr>
          <w:rFonts w:ascii="SkolaSans" w:hAnsi="SkolaSans"/>
          <w:sz w:val="22"/>
          <w:szCs w:val="22"/>
          <w:lang w:val="mk-MK"/>
        </w:rPr>
        <w:t>те кај кои</w:t>
      </w:r>
      <w:r w:rsidR="000B4A54" w:rsidRPr="0098661A">
        <w:rPr>
          <w:rFonts w:ascii="SkolaSans" w:hAnsi="SkolaSans"/>
          <w:sz w:val="22"/>
          <w:szCs w:val="22"/>
          <w:lang w:val="mk-MK"/>
        </w:rPr>
        <w:t xml:space="preserve"> претходо</w:t>
      </w:r>
      <w:r w:rsidR="003821C5" w:rsidRPr="00FD4968">
        <w:rPr>
          <w:rFonts w:ascii="SkolaSans" w:hAnsi="SkolaSans"/>
          <w:sz w:val="22"/>
          <w:szCs w:val="22"/>
          <w:lang w:val="mk-MK"/>
        </w:rPr>
        <w:t xml:space="preserve"> Комисијата</w:t>
      </w:r>
      <w:r w:rsidR="000B4A54" w:rsidRPr="00FD4968">
        <w:rPr>
          <w:rFonts w:ascii="SkolaSans" w:hAnsi="SkolaSans"/>
          <w:sz w:val="22"/>
          <w:szCs w:val="22"/>
          <w:lang w:val="mk-MK"/>
        </w:rPr>
        <w:t xml:space="preserve"> не го ценела стекнувањето на заедничка контрола на предметното заедничко вложување.</w:t>
      </w:r>
    </w:p>
    <w:p w:rsidR="00FD4968" w:rsidRPr="00FD4968" w:rsidRDefault="00FD4968" w:rsidP="00FD4968">
      <w:pPr>
        <w:pStyle w:val="ListParagraph"/>
        <w:rPr>
          <w:rFonts w:ascii="SkolaSans" w:hAnsi="SkolaSans"/>
          <w:sz w:val="22"/>
          <w:szCs w:val="22"/>
          <w:lang w:val="mk-MK"/>
        </w:rPr>
      </w:pPr>
    </w:p>
    <w:p w:rsidR="00FD4968" w:rsidRDefault="00FD4968" w:rsidP="00FD4968">
      <w:pPr>
        <w:pStyle w:val="ListParagraph"/>
        <w:shd w:val="clear" w:color="auto" w:fill="FFFFFF"/>
        <w:tabs>
          <w:tab w:val="left" w:pos="540"/>
        </w:tabs>
        <w:spacing w:after="120"/>
        <w:jc w:val="both"/>
        <w:rPr>
          <w:rFonts w:ascii="SkolaSans" w:hAnsi="SkolaSans"/>
          <w:sz w:val="22"/>
          <w:szCs w:val="22"/>
          <w:lang w:val="mk-MK"/>
        </w:rPr>
      </w:pPr>
    </w:p>
    <w:p w:rsidR="008C7CCB" w:rsidRDefault="003821C5" w:rsidP="00D06EBB">
      <w:pPr>
        <w:pStyle w:val="ListParagraph"/>
        <w:numPr>
          <w:ilvl w:val="0"/>
          <w:numId w:val="27"/>
        </w:numPr>
        <w:shd w:val="clear" w:color="auto" w:fill="FFFFFF"/>
        <w:tabs>
          <w:tab w:val="left" w:pos="540"/>
        </w:tabs>
        <w:spacing w:after="120"/>
        <w:jc w:val="both"/>
        <w:rPr>
          <w:rFonts w:ascii="SkolaSans" w:hAnsi="SkolaSans"/>
          <w:sz w:val="22"/>
          <w:szCs w:val="22"/>
          <w:lang w:val="mk-MK"/>
        </w:rPr>
      </w:pPr>
      <w:r w:rsidRPr="0098661A">
        <w:rPr>
          <w:rFonts w:ascii="SkolaSans" w:hAnsi="SkolaSans"/>
          <w:sz w:val="22"/>
          <w:szCs w:val="22"/>
          <w:lang w:val="mk-MK"/>
        </w:rPr>
        <w:t xml:space="preserve">Во случај на концентрации опишани во точка 8, Комисијата ќе одлучи посебно во секој одделен случај дали, согласно спецификите на предметниата концентрација порастот на пазарната концентрираност  </w:t>
      </w:r>
      <w:r w:rsidR="008C7CCB" w:rsidRPr="0098661A">
        <w:rPr>
          <w:rFonts w:ascii="SkolaSans" w:hAnsi="SkolaSans"/>
          <w:sz w:val="22"/>
          <w:szCs w:val="22"/>
          <w:lang w:val="mk-MK"/>
        </w:rPr>
        <w:t xml:space="preserve">која ја покажува делта </w:t>
      </w:r>
      <w:r w:rsidR="008C7CCB" w:rsidRPr="0098661A">
        <w:rPr>
          <w:rFonts w:ascii="SkolaSans" w:hAnsi="SkolaSans"/>
          <w:sz w:val="22"/>
          <w:szCs w:val="22"/>
        </w:rPr>
        <w:t>HHI</w:t>
      </w:r>
      <w:r w:rsidR="008C7CCB" w:rsidRPr="0098661A">
        <w:rPr>
          <w:rFonts w:ascii="SkolaSans" w:hAnsi="SkolaSans"/>
          <w:sz w:val="22"/>
          <w:szCs w:val="22"/>
          <w:lang w:val="mk-MK"/>
        </w:rPr>
        <w:t xml:space="preserve">, е или не е соодветно да донесе решение </w:t>
      </w:r>
      <w:r w:rsidR="00432561" w:rsidRPr="0098661A">
        <w:rPr>
          <w:rFonts w:ascii="SkolaSans" w:hAnsi="SkolaSans"/>
          <w:sz w:val="22"/>
          <w:szCs w:val="22"/>
          <w:lang w:val="mk-MK"/>
        </w:rPr>
        <w:t>согласно овие Насоки</w:t>
      </w:r>
      <w:r w:rsidR="008C7CCB" w:rsidRPr="0098661A">
        <w:rPr>
          <w:rFonts w:ascii="SkolaSans" w:hAnsi="SkolaSans"/>
          <w:sz w:val="22"/>
          <w:szCs w:val="22"/>
          <w:lang w:val="mk-MK"/>
        </w:rPr>
        <w:t>.</w:t>
      </w:r>
    </w:p>
    <w:p w:rsidR="0098661A" w:rsidRPr="0098661A" w:rsidRDefault="0098661A" w:rsidP="0098661A">
      <w:pPr>
        <w:pStyle w:val="ListParagraph"/>
        <w:shd w:val="clear" w:color="auto" w:fill="FFFFFF"/>
        <w:tabs>
          <w:tab w:val="left" w:pos="540"/>
        </w:tabs>
        <w:spacing w:after="120"/>
        <w:jc w:val="both"/>
        <w:rPr>
          <w:rFonts w:ascii="SkolaSans" w:hAnsi="SkolaSans"/>
          <w:sz w:val="22"/>
          <w:szCs w:val="22"/>
          <w:lang w:val="mk-MK"/>
        </w:rPr>
      </w:pPr>
    </w:p>
    <w:p w:rsidR="00D00D5A" w:rsidRPr="006D308E" w:rsidRDefault="000B4A54" w:rsidP="00A80503">
      <w:pPr>
        <w:shd w:val="clear" w:color="auto" w:fill="FFFFFF"/>
        <w:spacing w:after="120"/>
        <w:jc w:val="center"/>
        <w:rPr>
          <w:rFonts w:ascii="SkolaSans" w:hAnsi="SkolaSans"/>
          <w:b/>
          <w:bCs/>
          <w:sz w:val="22"/>
          <w:szCs w:val="22"/>
          <w:lang w:val="mk-MK"/>
        </w:rPr>
      </w:pPr>
      <w:r w:rsidRPr="006D308E">
        <w:rPr>
          <w:rFonts w:ascii="SkolaSans" w:hAnsi="SkolaSans"/>
          <w:sz w:val="22"/>
          <w:szCs w:val="22"/>
          <w:lang w:val="mk-MK"/>
        </w:rPr>
        <w:lastRenderedPageBreak/>
        <w:t>III.</w:t>
      </w:r>
      <w:r w:rsidRPr="006D308E">
        <w:rPr>
          <w:rFonts w:ascii="SkolaSans" w:hAnsi="SkolaSans"/>
          <w:sz w:val="22"/>
          <w:szCs w:val="22"/>
        </w:rPr>
        <w:t xml:space="preserve"> </w:t>
      </w:r>
      <w:r w:rsidRPr="006D308E">
        <w:rPr>
          <w:rFonts w:ascii="SkolaSans" w:hAnsi="SkolaSans"/>
          <w:b/>
          <w:bCs/>
          <w:sz w:val="22"/>
          <w:szCs w:val="22"/>
          <w:lang w:val="mk-MK"/>
        </w:rPr>
        <w:t>О</w:t>
      </w:r>
      <w:r w:rsidR="00940620" w:rsidRPr="006D308E">
        <w:rPr>
          <w:rFonts w:ascii="SkolaSans" w:hAnsi="SkolaSans"/>
          <w:b/>
          <w:bCs/>
          <w:sz w:val="22"/>
          <w:szCs w:val="22"/>
          <w:lang w:val="mk-MK"/>
        </w:rPr>
        <w:t xml:space="preserve">дредби за постапката </w:t>
      </w:r>
    </w:p>
    <w:p w:rsidR="00940620" w:rsidRPr="006D308E" w:rsidRDefault="00940620" w:rsidP="00A80503">
      <w:pPr>
        <w:shd w:val="clear" w:color="auto" w:fill="FFFFFF"/>
        <w:spacing w:after="120"/>
        <w:jc w:val="center"/>
        <w:rPr>
          <w:rFonts w:ascii="SkolaSans" w:hAnsi="SkolaSans"/>
          <w:sz w:val="22"/>
          <w:szCs w:val="22"/>
        </w:rPr>
      </w:pPr>
    </w:p>
    <w:p w:rsidR="00D00D5A" w:rsidRPr="006D308E" w:rsidRDefault="000B4A54" w:rsidP="00A80503">
      <w:pPr>
        <w:shd w:val="clear" w:color="auto" w:fill="FFFFFF"/>
        <w:spacing w:after="120"/>
        <w:ind w:left="408"/>
        <w:rPr>
          <w:rFonts w:ascii="SkolaSans" w:hAnsi="SkolaSans"/>
          <w:sz w:val="22"/>
          <w:szCs w:val="22"/>
        </w:rPr>
      </w:pPr>
      <w:r w:rsidRPr="006D308E">
        <w:rPr>
          <w:rFonts w:ascii="SkolaSans" w:hAnsi="SkolaSans"/>
          <w:i/>
          <w:iCs/>
          <w:sz w:val="22"/>
          <w:szCs w:val="22"/>
          <w:lang w:val="mk-MK"/>
        </w:rPr>
        <w:t>Контакти пред поднесување на известување</w:t>
      </w:r>
    </w:p>
    <w:p w:rsidR="00D00D5A" w:rsidRPr="00C34554" w:rsidRDefault="000B4A54" w:rsidP="00071488">
      <w:pPr>
        <w:pStyle w:val="ListParagraph"/>
        <w:numPr>
          <w:ilvl w:val="0"/>
          <w:numId w:val="21"/>
        </w:numPr>
        <w:shd w:val="clear" w:color="auto" w:fill="FFFFFF"/>
        <w:spacing w:after="120"/>
        <w:jc w:val="both"/>
        <w:rPr>
          <w:rFonts w:ascii="SkolaSans" w:hAnsi="SkolaSans"/>
          <w:sz w:val="22"/>
          <w:szCs w:val="22"/>
        </w:rPr>
      </w:pPr>
      <w:r w:rsidRPr="00C34554">
        <w:rPr>
          <w:rFonts w:ascii="SkolaSans" w:hAnsi="SkolaSans"/>
          <w:sz w:val="22"/>
          <w:szCs w:val="22"/>
          <w:lang w:val="mk-MK"/>
        </w:rPr>
        <w:t xml:space="preserve">Комисијата смета дека контактите пред поднесување на известување помеѓу подносителот/подносителите на известувањето и Комисијата може да се од корист дури и во навидум лесни случаи. Предметите (известувањата за концентрација) кои се </w:t>
      </w:r>
      <w:r w:rsidR="0098661A" w:rsidRPr="00C34554">
        <w:rPr>
          <w:rFonts w:ascii="SkolaSans" w:hAnsi="SkolaSans"/>
          <w:sz w:val="22"/>
          <w:szCs w:val="22"/>
          <w:lang w:val="mk-MK"/>
        </w:rPr>
        <w:t>подобни</w:t>
      </w:r>
      <w:r w:rsidRPr="00C34554">
        <w:rPr>
          <w:rFonts w:ascii="SkolaSans" w:hAnsi="SkolaSans"/>
          <w:sz w:val="22"/>
          <w:szCs w:val="22"/>
          <w:lang w:val="mk-MK"/>
        </w:rPr>
        <w:t xml:space="preserve"> за </w:t>
      </w:r>
      <w:r w:rsidR="00940620" w:rsidRPr="00C34554">
        <w:rPr>
          <w:rFonts w:ascii="SkolaSans" w:hAnsi="SkolaSans"/>
          <w:sz w:val="22"/>
          <w:szCs w:val="22"/>
          <w:lang w:val="mk-MK"/>
        </w:rPr>
        <w:t>донесување на решение</w:t>
      </w:r>
      <w:r w:rsidR="008C7CCB" w:rsidRPr="00C34554">
        <w:rPr>
          <w:rFonts w:ascii="SkolaSans" w:hAnsi="SkolaSans"/>
          <w:sz w:val="22"/>
          <w:szCs w:val="22"/>
          <w:lang w:val="mk-MK"/>
        </w:rPr>
        <w:t xml:space="preserve"> </w:t>
      </w:r>
      <w:r w:rsidR="00432561" w:rsidRPr="00C34554">
        <w:rPr>
          <w:rFonts w:ascii="SkolaSans" w:hAnsi="SkolaSans"/>
          <w:sz w:val="22"/>
          <w:szCs w:val="22"/>
          <w:lang w:val="mk-MK"/>
        </w:rPr>
        <w:t>согласно овие Насоки</w:t>
      </w:r>
      <w:r w:rsidRPr="00C34554">
        <w:rPr>
          <w:rFonts w:ascii="SkolaSans" w:hAnsi="SkolaSans"/>
          <w:sz w:val="22"/>
          <w:szCs w:val="22"/>
          <w:lang w:val="mk-MK"/>
        </w:rPr>
        <w:t xml:space="preserve"> може да покренат сложени прашања, како на пример тоа за дефинирање на пазарот (да се види точка </w:t>
      </w:r>
      <w:r w:rsidR="000D166C" w:rsidRPr="00C34554">
        <w:rPr>
          <w:rFonts w:ascii="SkolaSans" w:hAnsi="SkolaSans"/>
          <w:sz w:val="22"/>
          <w:szCs w:val="22"/>
          <w:lang w:val="mk-MK"/>
        </w:rPr>
        <w:t>9</w:t>
      </w:r>
      <w:r w:rsidRPr="00C34554">
        <w:rPr>
          <w:rFonts w:ascii="SkolaSans" w:hAnsi="SkolaSans"/>
          <w:sz w:val="22"/>
          <w:szCs w:val="22"/>
          <w:lang w:val="mk-MK"/>
        </w:rPr>
        <w:t>) кои е подобро да се разрешат пред поднесување на известувањето.</w:t>
      </w:r>
      <w:r w:rsidRPr="00C34554">
        <w:rPr>
          <w:rFonts w:ascii="SkolaSans" w:hAnsi="SkolaSans"/>
          <w:sz w:val="22"/>
          <w:szCs w:val="22"/>
        </w:rPr>
        <w:t xml:space="preserve"> </w:t>
      </w:r>
      <w:r w:rsidRPr="00C34554">
        <w:rPr>
          <w:rFonts w:ascii="SkolaSans" w:hAnsi="SkolaSans"/>
          <w:sz w:val="22"/>
          <w:szCs w:val="22"/>
          <w:lang w:val="mk-MK"/>
        </w:rPr>
        <w:t xml:space="preserve">Контактите пред поднесување на известувањето </w:t>
      </w:r>
      <w:r w:rsidRPr="00C34554">
        <w:rPr>
          <w:rFonts w:ascii="SkolaSans" w:hAnsi="SkolaSans"/>
          <w:spacing w:val="-100"/>
          <w:sz w:val="22"/>
          <w:szCs w:val="22"/>
          <w:lang w:val="mk-MK"/>
        </w:rPr>
        <w:t xml:space="preserve">и` </w:t>
      </w:r>
      <w:r w:rsidRPr="00C34554">
        <w:rPr>
          <w:rFonts w:ascii="SkolaSans" w:hAnsi="SkolaSans"/>
          <w:sz w:val="22"/>
          <w:szCs w:val="22"/>
          <w:lang w:val="mk-MK"/>
        </w:rPr>
        <w:t xml:space="preserve"> овозможуваат на Комисијата и на подносителот на известувањето да ја одредат точната количина на информации кои се </w:t>
      </w:r>
      <w:r w:rsidR="00940620" w:rsidRPr="00C34554">
        <w:rPr>
          <w:rFonts w:ascii="SkolaSans" w:hAnsi="SkolaSans"/>
          <w:sz w:val="22"/>
          <w:szCs w:val="22"/>
          <w:lang w:val="mk-MK"/>
        </w:rPr>
        <w:t xml:space="preserve">доставуваат </w:t>
      </w:r>
      <w:r w:rsidRPr="00C34554">
        <w:rPr>
          <w:rFonts w:ascii="SkolaSans" w:hAnsi="SkolaSans"/>
          <w:sz w:val="22"/>
          <w:szCs w:val="22"/>
          <w:lang w:val="mk-MK"/>
        </w:rPr>
        <w:t>со известувањето.</w:t>
      </w:r>
      <w:r w:rsidR="0098661A" w:rsidRPr="00C34554">
        <w:rPr>
          <w:rFonts w:ascii="SkolaSans" w:hAnsi="SkolaSans"/>
          <w:sz w:val="22"/>
          <w:szCs w:val="22"/>
          <w:lang w:val="mk-MK"/>
        </w:rPr>
        <w:t xml:space="preserve"> </w:t>
      </w:r>
      <w:r w:rsidR="008C7CCB" w:rsidRPr="00C34554">
        <w:rPr>
          <w:rFonts w:ascii="SkolaSans" w:hAnsi="SkolaSans"/>
          <w:sz w:val="22"/>
          <w:szCs w:val="22"/>
          <w:lang w:val="mk-MK"/>
        </w:rPr>
        <w:t xml:space="preserve">Подносителите на известувањето особено се охрабруваат да остварат контакт со Комисијата пред поднесување на известувањето кога </w:t>
      </w:r>
      <w:r w:rsidR="00C34554" w:rsidRPr="00C34554">
        <w:rPr>
          <w:rFonts w:ascii="SkolaSans" w:hAnsi="SkolaSans"/>
          <w:sz w:val="22"/>
          <w:szCs w:val="22"/>
          <w:lang w:val="mk-MK"/>
        </w:rPr>
        <w:t>сметаат дека концентрацијата ги исполнува условите од точка</w:t>
      </w:r>
      <w:r w:rsidR="008C7CCB" w:rsidRPr="00C34554">
        <w:rPr>
          <w:rFonts w:ascii="SkolaSans" w:hAnsi="SkolaSans"/>
          <w:sz w:val="22"/>
          <w:szCs w:val="22"/>
          <w:lang w:val="mk-MK"/>
        </w:rPr>
        <w:t xml:space="preserve"> </w:t>
      </w:r>
      <w:r w:rsidR="00432561" w:rsidRPr="00C34554">
        <w:rPr>
          <w:rFonts w:ascii="SkolaSans" w:hAnsi="SkolaSans"/>
          <w:sz w:val="22"/>
          <w:szCs w:val="22"/>
          <w:lang w:val="mk-MK"/>
        </w:rPr>
        <w:t>7</w:t>
      </w:r>
      <w:r w:rsidR="008C7CCB" w:rsidRPr="00C34554">
        <w:rPr>
          <w:rFonts w:ascii="SkolaSans" w:hAnsi="SkolaSans"/>
          <w:sz w:val="22"/>
          <w:szCs w:val="22"/>
          <w:lang w:val="mk-MK"/>
        </w:rPr>
        <w:t>.  Согласно Законот подносителите на известувањето можат да го поднесат известувањето во било кое време, доколку ист</w:t>
      </w:r>
      <w:r w:rsidR="00C34554" w:rsidRPr="00C34554">
        <w:rPr>
          <w:rFonts w:ascii="SkolaSans" w:hAnsi="SkolaSans"/>
          <w:sz w:val="22"/>
          <w:szCs w:val="22"/>
          <w:lang w:val="mk-MK"/>
        </w:rPr>
        <w:t>ото</w:t>
      </w:r>
      <w:r w:rsidR="008C7CCB" w:rsidRPr="00C34554">
        <w:rPr>
          <w:rFonts w:ascii="SkolaSans" w:hAnsi="SkolaSans"/>
          <w:sz w:val="22"/>
          <w:szCs w:val="22"/>
          <w:lang w:val="mk-MK"/>
        </w:rPr>
        <w:t xml:space="preserve"> е целосн</w:t>
      </w:r>
      <w:r w:rsidR="00C34554" w:rsidRPr="00C34554">
        <w:rPr>
          <w:rFonts w:ascii="SkolaSans" w:hAnsi="SkolaSans"/>
          <w:sz w:val="22"/>
          <w:szCs w:val="22"/>
          <w:lang w:val="mk-MK"/>
        </w:rPr>
        <w:t>о</w:t>
      </w:r>
      <w:r w:rsidR="008C7CCB" w:rsidRPr="00C34554">
        <w:rPr>
          <w:rFonts w:ascii="SkolaSans" w:hAnsi="SkolaSans"/>
          <w:sz w:val="22"/>
          <w:szCs w:val="22"/>
          <w:lang w:val="mk-MK"/>
        </w:rPr>
        <w:t>. Можноста за остварување на контакти пред поднесување на известувањето</w:t>
      </w:r>
      <w:r w:rsidR="00C34554" w:rsidRPr="00C34554">
        <w:rPr>
          <w:rFonts w:ascii="SkolaSans" w:hAnsi="SkolaSans"/>
          <w:sz w:val="22"/>
          <w:szCs w:val="22"/>
          <w:lang w:val="mk-MK"/>
        </w:rPr>
        <w:t xml:space="preserve"> е</w:t>
      </w:r>
      <w:r w:rsidR="008C7CCB" w:rsidRPr="00C34554">
        <w:rPr>
          <w:rFonts w:ascii="SkolaSans" w:hAnsi="SkolaSans"/>
          <w:sz w:val="22"/>
          <w:szCs w:val="22"/>
          <w:lang w:val="mk-MK"/>
        </w:rPr>
        <w:t xml:space="preserve"> </w:t>
      </w:r>
      <w:r w:rsidR="00071488" w:rsidRPr="00C34554">
        <w:rPr>
          <w:rFonts w:ascii="SkolaSans" w:hAnsi="SkolaSans"/>
          <w:sz w:val="22"/>
          <w:szCs w:val="22"/>
          <w:lang w:val="mk-MK"/>
        </w:rPr>
        <w:t>можност</w:t>
      </w:r>
      <w:r w:rsidR="008C7CCB" w:rsidRPr="00C34554">
        <w:rPr>
          <w:rFonts w:ascii="SkolaSans" w:hAnsi="SkolaSans"/>
          <w:sz w:val="22"/>
          <w:szCs w:val="22"/>
          <w:lang w:val="mk-MK"/>
        </w:rPr>
        <w:t xml:space="preserve"> која им се нуди на </w:t>
      </w:r>
      <w:r w:rsidR="00071488" w:rsidRPr="00C34554">
        <w:rPr>
          <w:rFonts w:ascii="SkolaSans" w:hAnsi="SkolaSans"/>
          <w:sz w:val="22"/>
          <w:szCs w:val="22"/>
          <w:lang w:val="mk-MK"/>
        </w:rPr>
        <w:t xml:space="preserve">подносителите на известувањето од страна на Комисијата, на доброволна основа  со цел да се подготви формалното разгледување на известувањето за концентрација. Како такви, иако незадолжителни, контактите пред поднесување на известување може да бидат од голема корист и за подносителите на известувањето и за Комисијата во одредување на точната количина на информации кои </w:t>
      </w:r>
      <w:r w:rsidR="00C34554" w:rsidRPr="00C34554">
        <w:rPr>
          <w:rFonts w:ascii="SkolaSans" w:hAnsi="SkolaSans"/>
          <w:sz w:val="22"/>
          <w:szCs w:val="22"/>
          <w:lang w:val="mk-MK"/>
        </w:rPr>
        <w:t>се доставуваат во известувањето</w:t>
      </w:r>
      <w:r w:rsidR="00071488" w:rsidRPr="00C34554">
        <w:rPr>
          <w:rFonts w:ascii="SkolaSans" w:hAnsi="SkolaSans"/>
          <w:sz w:val="22"/>
          <w:szCs w:val="22"/>
          <w:lang w:val="mk-MK"/>
        </w:rPr>
        <w:t>.</w:t>
      </w:r>
    </w:p>
    <w:p w:rsidR="006F5251" w:rsidRPr="00C34554" w:rsidRDefault="006F5251" w:rsidP="006F5251">
      <w:pPr>
        <w:pStyle w:val="ListParagraph"/>
        <w:shd w:val="clear" w:color="auto" w:fill="FFFFFF"/>
        <w:spacing w:after="120"/>
        <w:ind w:left="734"/>
        <w:jc w:val="both"/>
        <w:rPr>
          <w:rFonts w:ascii="SkolaSans" w:hAnsi="SkolaSans"/>
          <w:sz w:val="22"/>
          <w:szCs w:val="22"/>
        </w:rPr>
      </w:pPr>
    </w:p>
    <w:p w:rsidR="00071488" w:rsidRPr="00C34554" w:rsidRDefault="00071488" w:rsidP="00071488">
      <w:pPr>
        <w:pStyle w:val="ListParagraph"/>
        <w:numPr>
          <w:ilvl w:val="0"/>
          <w:numId w:val="21"/>
        </w:numPr>
        <w:shd w:val="clear" w:color="auto" w:fill="FFFFFF"/>
        <w:spacing w:after="120"/>
        <w:jc w:val="both"/>
        <w:rPr>
          <w:rFonts w:ascii="SkolaSans" w:hAnsi="SkolaSans"/>
          <w:sz w:val="22"/>
          <w:szCs w:val="22"/>
          <w:lang w:val="mk-MK"/>
        </w:rPr>
      </w:pPr>
      <w:r w:rsidRPr="00C34554">
        <w:rPr>
          <w:rFonts w:ascii="SkolaSans" w:hAnsi="SkolaSans"/>
          <w:sz w:val="22"/>
          <w:szCs w:val="22"/>
          <w:lang w:val="mk-MK"/>
        </w:rPr>
        <w:t>Сепак, контактите пред поднесување на известување</w:t>
      </w:r>
      <w:r w:rsidR="00C34554" w:rsidRPr="00C34554">
        <w:rPr>
          <w:rFonts w:ascii="SkolaSans" w:hAnsi="SkolaSans"/>
          <w:sz w:val="22"/>
          <w:szCs w:val="22"/>
          <w:lang w:val="mk-MK"/>
        </w:rPr>
        <w:t>то</w:t>
      </w:r>
      <w:r w:rsidRPr="00C34554">
        <w:rPr>
          <w:rFonts w:ascii="SkolaSans" w:hAnsi="SkolaSans"/>
          <w:sz w:val="22"/>
          <w:szCs w:val="22"/>
          <w:lang w:val="mk-MK"/>
        </w:rPr>
        <w:t xml:space="preserve">, може да </w:t>
      </w:r>
      <w:r w:rsidR="00C34554" w:rsidRPr="00C34554">
        <w:rPr>
          <w:rFonts w:ascii="SkolaSans" w:hAnsi="SkolaSans"/>
          <w:sz w:val="22"/>
          <w:szCs w:val="22"/>
          <w:lang w:val="mk-MK"/>
        </w:rPr>
        <w:t>с</w:t>
      </w:r>
      <w:r w:rsidRPr="00C34554">
        <w:rPr>
          <w:rFonts w:ascii="SkolaSans" w:hAnsi="SkolaSans"/>
          <w:sz w:val="22"/>
          <w:szCs w:val="22"/>
          <w:lang w:val="mk-MK"/>
        </w:rPr>
        <w:t>е помалку корисн</w:t>
      </w:r>
      <w:r w:rsidR="00C34554" w:rsidRPr="00C34554">
        <w:rPr>
          <w:rFonts w:ascii="SkolaSans" w:hAnsi="SkolaSans"/>
          <w:sz w:val="22"/>
          <w:szCs w:val="22"/>
          <w:lang w:val="mk-MK"/>
        </w:rPr>
        <w:t>и</w:t>
      </w:r>
      <w:r w:rsidRPr="00C34554">
        <w:rPr>
          <w:rFonts w:ascii="SkolaSans" w:hAnsi="SkolaSans"/>
          <w:sz w:val="22"/>
          <w:szCs w:val="22"/>
          <w:lang w:val="mk-MK"/>
        </w:rPr>
        <w:t xml:space="preserve"> за случаевите опфатени со точка </w:t>
      </w:r>
      <w:r w:rsidR="00432561" w:rsidRPr="00C34554">
        <w:rPr>
          <w:rFonts w:ascii="SkolaSans" w:hAnsi="SkolaSans"/>
          <w:sz w:val="22"/>
          <w:szCs w:val="22"/>
          <w:lang w:val="mk-MK"/>
        </w:rPr>
        <w:t>6</w:t>
      </w:r>
      <w:r w:rsidRPr="00C34554">
        <w:rPr>
          <w:rFonts w:ascii="SkolaSans" w:hAnsi="SkolaSans"/>
          <w:sz w:val="22"/>
          <w:szCs w:val="22"/>
          <w:lang w:val="mk-MK"/>
        </w:rPr>
        <w:t xml:space="preserve">(б) од овие Насоки, односно во случаи кога не постојат </w:t>
      </w:r>
      <w:r w:rsidR="006F5251" w:rsidRPr="00C34554">
        <w:rPr>
          <w:rFonts w:ascii="SkolaSans" w:hAnsi="SkolaSans"/>
          <w:sz w:val="22"/>
          <w:szCs w:val="22"/>
          <w:lang w:val="mk-MK"/>
        </w:rPr>
        <w:t>пазари на кои концентрацијата може да има влијание</w:t>
      </w:r>
      <w:r w:rsidR="006F5251" w:rsidRPr="00C34554">
        <w:rPr>
          <w:rStyle w:val="FootnoteReference"/>
          <w:rFonts w:ascii="SkolaSans" w:hAnsi="SkolaSans"/>
          <w:sz w:val="22"/>
          <w:szCs w:val="22"/>
          <w:lang w:val="mk-MK"/>
        </w:rPr>
        <w:footnoteReference w:id="18"/>
      </w:r>
      <w:r w:rsidR="006F5251" w:rsidRPr="00C34554">
        <w:rPr>
          <w:rFonts w:ascii="SkolaSans" w:hAnsi="SkolaSans"/>
          <w:sz w:val="22"/>
          <w:szCs w:val="22"/>
          <w:lang w:val="mk-MK"/>
        </w:rPr>
        <w:t xml:space="preserve"> бидејќи учесниците во концентрацијата не се вклучени во деловни активности</w:t>
      </w:r>
      <w:r w:rsidR="006F5251" w:rsidRPr="00C34554">
        <w:rPr>
          <w:rFonts w:ascii="SkolaSans" w:hAnsi="SkolaSans"/>
          <w:i/>
          <w:sz w:val="22"/>
          <w:szCs w:val="22"/>
          <w:lang w:val="mk-MK"/>
        </w:rPr>
        <w:t xml:space="preserve"> на ист пазар на стоки и географски пазар, или на пазар на стоки кој е надолен или нагорен пазар на пазарот на стоки на кој е присутен било која друг учесник во конц</w:t>
      </w:r>
      <w:r w:rsidR="00616DF4">
        <w:rPr>
          <w:rFonts w:ascii="SkolaSans" w:hAnsi="SkolaSans"/>
          <w:i/>
          <w:sz w:val="22"/>
          <w:szCs w:val="22"/>
          <w:lang w:val="mk-MK"/>
        </w:rPr>
        <w:t>е</w:t>
      </w:r>
      <w:r w:rsidR="006F5251" w:rsidRPr="00C34554">
        <w:rPr>
          <w:rFonts w:ascii="SkolaSans" w:hAnsi="SkolaSans"/>
          <w:i/>
          <w:sz w:val="22"/>
          <w:szCs w:val="22"/>
          <w:lang w:val="mk-MK"/>
        </w:rPr>
        <w:t xml:space="preserve">нтрацијата. </w:t>
      </w:r>
    </w:p>
    <w:p w:rsidR="006F5251" w:rsidRPr="00C34554" w:rsidRDefault="006F5251" w:rsidP="006F5251">
      <w:pPr>
        <w:pStyle w:val="ListParagraph"/>
        <w:rPr>
          <w:rFonts w:ascii="SkolaSans" w:hAnsi="SkolaSans"/>
          <w:sz w:val="22"/>
          <w:szCs w:val="22"/>
          <w:lang w:val="mk-MK"/>
        </w:rPr>
      </w:pPr>
    </w:p>
    <w:p w:rsidR="006F5251" w:rsidRPr="00C34554" w:rsidRDefault="006F5251" w:rsidP="00071488">
      <w:pPr>
        <w:pStyle w:val="ListParagraph"/>
        <w:numPr>
          <w:ilvl w:val="0"/>
          <w:numId w:val="21"/>
        </w:numPr>
        <w:shd w:val="clear" w:color="auto" w:fill="FFFFFF"/>
        <w:spacing w:after="120"/>
        <w:jc w:val="both"/>
        <w:rPr>
          <w:rFonts w:ascii="SkolaSans" w:hAnsi="SkolaSans"/>
          <w:sz w:val="22"/>
          <w:szCs w:val="22"/>
          <w:lang w:val="mk-MK"/>
        </w:rPr>
      </w:pPr>
      <w:r w:rsidRPr="00C34554">
        <w:rPr>
          <w:rFonts w:ascii="SkolaSans" w:hAnsi="SkolaSans"/>
          <w:sz w:val="22"/>
          <w:szCs w:val="22"/>
          <w:lang w:val="mk-MK"/>
        </w:rPr>
        <w:t xml:space="preserve">Утврдувањето на непостоење на пазари на кои концентрацијата може да има влијание треба да биде утврдено согласно точка </w:t>
      </w:r>
      <w:r w:rsidR="00432561" w:rsidRPr="00C34554">
        <w:rPr>
          <w:rFonts w:ascii="SkolaSans" w:hAnsi="SkolaSans"/>
          <w:sz w:val="22"/>
          <w:szCs w:val="22"/>
          <w:lang w:val="mk-MK"/>
        </w:rPr>
        <w:t xml:space="preserve">9 </w:t>
      </w:r>
      <w:r w:rsidRPr="00C34554">
        <w:rPr>
          <w:rFonts w:ascii="SkolaSans" w:hAnsi="SkolaSans"/>
          <w:sz w:val="22"/>
          <w:szCs w:val="22"/>
          <w:lang w:val="mk-MK"/>
        </w:rPr>
        <w:t xml:space="preserve">од овие Насоки. Оттука останува обврска на подносителите на известувањето да ги достават сите </w:t>
      </w:r>
      <w:r w:rsidR="00664BF6" w:rsidRPr="00C34554">
        <w:rPr>
          <w:rFonts w:ascii="SkolaSans" w:hAnsi="SkolaSans"/>
          <w:sz w:val="22"/>
          <w:szCs w:val="22"/>
          <w:lang w:val="mk-MK"/>
        </w:rPr>
        <w:t xml:space="preserve">информации неопходни за Комисијата да може да утврди дека концентрацијата не покренува прашање во врска со некој пазар на кој концентрацијата може да има влијание. Комисијата нема да донесе решение </w:t>
      </w:r>
      <w:r w:rsidR="00C34554" w:rsidRPr="00C34554">
        <w:rPr>
          <w:rFonts w:ascii="SkolaSans" w:hAnsi="SkolaSans"/>
          <w:sz w:val="22"/>
          <w:szCs w:val="22"/>
          <w:lang w:val="mk-MK"/>
        </w:rPr>
        <w:t>согласно</w:t>
      </w:r>
      <w:r w:rsidR="00432561" w:rsidRPr="00C34554">
        <w:rPr>
          <w:rFonts w:ascii="SkolaSans" w:hAnsi="SkolaSans"/>
          <w:sz w:val="22"/>
          <w:szCs w:val="22"/>
          <w:lang w:val="mk-MK"/>
        </w:rPr>
        <w:t xml:space="preserve"> на овие Насоки</w:t>
      </w:r>
      <w:r w:rsidR="00664BF6" w:rsidRPr="00C34554">
        <w:rPr>
          <w:rFonts w:ascii="SkolaSans" w:hAnsi="SkolaSans"/>
          <w:sz w:val="22"/>
          <w:szCs w:val="22"/>
          <w:lang w:val="mk-MK"/>
        </w:rPr>
        <w:t xml:space="preserve"> врз основа на точка </w:t>
      </w:r>
      <w:r w:rsidR="00432561" w:rsidRPr="00C34554">
        <w:rPr>
          <w:rFonts w:ascii="SkolaSans" w:hAnsi="SkolaSans"/>
          <w:sz w:val="22"/>
          <w:szCs w:val="22"/>
          <w:lang w:val="mk-MK"/>
        </w:rPr>
        <w:t>6</w:t>
      </w:r>
      <w:r w:rsidR="00664BF6" w:rsidRPr="00C34554">
        <w:rPr>
          <w:rFonts w:ascii="SkolaSans" w:hAnsi="SkolaSans"/>
          <w:sz w:val="22"/>
          <w:szCs w:val="22"/>
          <w:lang w:val="mk-MK"/>
        </w:rPr>
        <w:t>(б) доколку е тешко да се утврди дека концентрацијата не покренува прашање во врска со некој пазар на кој концентрацијата може да има влијание.</w:t>
      </w:r>
    </w:p>
    <w:p w:rsidR="003E43C2" w:rsidRPr="00C34554" w:rsidRDefault="003E43C2" w:rsidP="00C34554">
      <w:pPr>
        <w:shd w:val="clear" w:color="auto" w:fill="FFFFFF"/>
        <w:spacing w:after="120"/>
        <w:rPr>
          <w:rFonts w:ascii="SkolaSans" w:hAnsi="SkolaSans"/>
          <w:i/>
          <w:iCs/>
          <w:spacing w:val="-11"/>
          <w:sz w:val="22"/>
          <w:szCs w:val="22"/>
          <w:lang w:val="mk-MK"/>
        </w:rPr>
      </w:pPr>
    </w:p>
    <w:p w:rsidR="00250B62" w:rsidRPr="006D308E" w:rsidRDefault="00C34554" w:rsidP="00C34554">
      <w:pPr>
        <w:pStyle w:val="ListParagraph"/>
        <w:shd w:val="clear" w:color="auto" w:fill="FFFFFF"/>
        <w:spacing w:after="120"/>
        <w:ind w:left="413"/>
        <w:jc w:val="both"/>
        <w:rPr>
          <w:rFonts w:ascii="SkolaSans" w:hAnsi="SkolaSans"/>
          <w:i/>
          <w:iCs/>
          <w:color w:val="1A171B"/>
          <w:spacing w:val="-13"/>
          <w:sz w:val="22"/>
          <w:szCs w:val="22"/>
        </w:rPr>
      </w:pPr>
      <w:r w:rsidRPr="00C34554">
        <w:rPr>
          <w:rFonts w:ascii="SkolaSans" w:hAnsi="SkolaSans"/>
          <w:i/>
          <w:iCs/>
          <w:color w:val="1A171B"/>
          <w:spacing w:val="-13"/>
          <w:sz w:val="22"/>
          <w:szCs w:val="22"/>
        </w:rPr>
        <w:lastRenderedPageBreak/>
        <w:t xml:space="preserve"> </w:t>
      </w:r>
    </w:p>
    <w:p w:rsidR="00250B62" w:rsidRPr="006D308E" w:rsidRDefault="00250B62" w:rsidP="00A80503">
      <w:pPr>
        <w:shd w:val="clear" w:color="auto" w:fill="FFFFFF"/>
        <w:spacing w:after="120"/>
        <w:ind w:left="350"/>
        <w:rPr>
          <w:rFonts w:ascii="SkolaSans" w:hAnsi="SkolaSans"/>
          <w:i/>
          <w:iCs/>
          <w:color w:val="1A171B"/>
          <w:spacing w:val="-12"/>
          <w:sz w:val="22"/>
          <w:szCs w:val="22"/>
        </w:rPr>
      </w:pPr>
    </w:p>
    <w:sectPr w:rsidR="00250B62" w:rsidRPr="006D308E" w:rsidSect="00C904CB">
      <w:footerReference w:type="default" r:id="rId8"/>
      <w:pgSz w:w="11904" w:h="16838"/>
      <w:pgMar w:top="1440" w:right="1440" w:bottom="1440" w:left="1440" w:header="720" w:footer="72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1C81" w:rsidRDefault="00571C81">
      <w:r>
        <w:separator/>
      </w:r>
    </w:p>
  </w:endnote>
  <w:endnote w:type="continuationSeparator" w:id="1">
    <w:p w:rsidR="00571C81" w:rsidRDefault="00571C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kolaSans">
    <w:altName w:val="Times New Roman"/>
    <w:panose1 w:val="02000000000000000000"/>
    <w:charset w:val="00"/>
    <w:family w:val="modern"/>
    <w:notTrueType/>
    <w:pitch w:val="variable"/>
    <w:sig w:usb0="A000022F" w:usb1="5000205B" w:usb2="00000000" w:usb3="00000000" w:csb0="00000087" w:csb1="00000000"/>
  </w:font>
  <w:font w:name="TimesNewRomanPS-BoldMT">
    <w:panose1 w:val="00000000000000000000"/>
    <w:charset w:val="CC"/>
    <w:family w:val="auto"/>
    <w:notTrueType/>
    <w:pitch w:val="default"/>
    <w:sig w:usb0="00000203" w:usb1="00000000" w:usb2="00000000" w:usb3="00000000" w:csb0="00000005"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0688"/>
      <w:docPartObj>
        <w:docPartGallery w:val="Page Numbers (Bottom of Page)"/>
        <w:docPartUnique/>
      </w:docPartObj>
    </w:sdtPr>
    <w:sdtContent>
      <w:p w:rsidR="00432561" w:rsidRDefault="00F94E45">
        <w:pPr>
          <w:pStyle w:val="Footer"/>
          <w:jc w:val="right"/>
        </w:pPr>
        <w:fldSimple w:instr=" PAGE   \* MERGEFORMAT ">
          <w:r w:rsidR="006448BF">
            <w:rPr>
              <w:noProof/>
            </w:rPr>
            <w:t>1</w:t>
          </w:r>
        </w:fldSimple>
      </w:p>
    </w:sdtContent>
  </w:sdt>
  <w:p w:rsidR="00432561" w:rsidRDefault="004325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1C81" w:rsidRDefault="00571C81">
      <w:r>
        <w:separator/>
      </w:r>
    </w:p>
  </w:footnote>
  <w:footnote w:type="continuationSeparator" w:id="1">
    <w:p w:rsidR="00571C81" w:rsidRDefault="00571C81">
      <w:r>
        <w:continuationSeparator/>
      </w:r>
    </w:p>
  </w:footnote>
  <w:footnote w:id="2">
    <w:p w:rsidR="00432561" w:rsidRPr="00C34554" w:rsidRDefault="00432561" w:rsidP="00C34554">
      <w:pPr>
        <w:pStyle w:val="FootnoteText"/>
        <w:jc w:val="both"/>
        <w:rPr>
          <w:rFonts w:ascii="SkolaSans" w:hAnsi="SkolaSans"/>
          <w:sz w:val="18"/>
          <w:szCs w:val="18"/>
        </w:rPr>
      </w:pPr>
      <w:r w:rsidRPr="00C34554">
        <w:rPr>
          <w:rStyle w:val="FootnoteReference"/>
          <w:rFonts w:ascii="SkolaSans" w:hAnsi="SkolaSans"/>
          <w:sz w:val="18"/>
          <w:szCs w:val="18"/>
        </w:rPr>
        <w:footnoteRef/>
      </w:r>
      <w:r w:rsidRPr="00C34554">
        <w:rPr>
          <w:rFonts w:ascii="SkolaSans" w:hAnsi="SkolaSans"/>
          <w:sz w:val="18"/>
          <w:szCs w:val="18"/>
        </w:rPr>
        <w:t xml:space="preserve">* </w:t>
      </w:r>
      <w:r w:rsidRPr="00C34554">
        <w:rPr>
          <w:rFonts w:ascii="SkolaSans" w:hAnsi="SkolaSans"/>
          <w:sz w:val="18"/>
          <w:szCs w:val="18"/>
          <w:lang w:val="mk-MK"/>
        </w:rPr>
        <w:t>Овие Насоки се усогласени со Насоките на Комисијата за поедноставена постапка за оцена на одредени концентрации согласно Регулативата на Советот (ЕЗ) бр. 139/2004 (20</w:t>
      </w:r>
      <w:r w:rsidRPr="00C34554">
        <w:rPr>
          <w:rFonts w:ascii="SkolaSans" w:hAnsi="SkolaSans"/>
          <w:sz w:val="18"/>
          <w:szCs w:val="18"/>
        </w:rPr>
        <w:t>13</w:t>
      </w:r>
      <w:r w:rsidRPr="00C34554">
        <w:rPr>
          <w:rFonts w:ascii="SkolaSans" w:hAnsi="SkolaSans"/>
          <w:sz w:val="18"/>
          <w:szCs w:val="18"/>
          <w:lang w:val="mk-MK"/>
        </w:rPr>
        <w:t>/</w:t>
      </w:r>
      <w:r w:rsidRPr="00C34554">
        <w:rPr>
          <w:rFonts w:ascii="SkolaSans" w:hAnsi="SkolaSans"/>
          <w:sz w:val="18"/>
          <w:szCs w:val="18"/>
        </w:rPr>
        <w:t>C</w:t>
      </w:r>
      <w:r w:rsidRPr="00C34554">
        <w:rPr>
          <w:rFonts w:ascii="SkolaSans" w:hAnsi="SkolaSans"/>
          <w:sz w:val="18"/>
          <w:szCs w:val="18"/>
          <w:lang w:val="hr-HR"/>
        </w:rPr>
        <w:t xml:space="preserve"> 366</w:t>
      </w:r>
      <w:r w:rsidRPr="00C34554">
        <w:rPr>
          <w:rFonts w:ascii="SkolaSans" w:hAnsi="SkolaSans"/>
          <w:sz w:val="18"/>
          <w:szCs w:val="18"/>
        </w:rPr>
        <w:t>/</w:t>
      </w:r>
      <w:r w:rsidRPr="00C34554">
        <w:rPr>
          <w:rFonts w:ascii="SkolaSans" w:hAnsi="SkolaSans"/>
          <w:sz w:val="18"/>
          <w:szCs w:val="18"/>
          <w:lang w:val="hr-HR"/>
        </w:rPr>
        <w:t>04</w:t>
      </w:r>
      <w:r w:rsidRPr="00C34554">
        <w:rPr>
          <w:rFonts w:ascii="SkolaSans" w:hAnsi="SkolaSans"/>
          <w:sz w:val="18"/>
          <w:szCs w:val="18"/>
          <w:lang w:val="mk-MK"/>
        </w:rPr>
        <w:t>)</w:t>
      </w:r>
    </w:p>
  </w:footnote>
  <w:footnote w:id="3">
    <w:p w:rsidR="00432561" w:rsidRPr="00C34554" w:rsidRDefault="00432561" w:rsidP="00C34554">
      <w:pPr>
        <w:pStyle w:val="FootnoteText"/>
        <w:spacing w:after="120"/>
        <w:jc w:val="both"/>
        <w:rPr>
          <w:rFonts w:ascii="SkolaSans" w:hAnsi="SkolaSans"/>
          <w:sz w:val="18"/>
          <w:szCs w:val="18"/>
        </w:rPr>
      </w:pPr>
      <w:r w:rsidRPr="00C34554">
        <w:rPr>
          <w:rStyle w:val="FootnoteReference"/>
          <w:rFonts w:ascii="SkolaSans" w:hAnsi="SkolaSans"/>
          <w:sz w:val="18"/>
          <w:szCs w:val="18"/>
        </w:rPr>
        <w:footnoteRef/>
      </w:r>
      <w:r w:rsidRPr="00C34554">
        <w:rPr>
          <w:rFonts w:ascii="SkolaSans" w:hAnsi="SkolaSans"/>
          <w:sz w:val="18"/>
          <w:szCs w:val="18"/>
        </w:rPr>
        <w:t xml:space="preserve">  </w:t>
      </w:r>
      <w:r w:rsidRPr="00C34554">
        <w:rPr>
          <w:rFonts w:ascii="SkolaSans" w:hAnsi="SkolaSans"/>
          <w:sz w:val="18"/>
          <w:szCs w:val="18"/>
          <w:lang w:val="mk-MK"/>
        </w:rPr>
        <w:t>Формата и содржината на известувањето се утврдени во Уредбата за формата и содржината на известувањето за концентрација и потребната документација која се поднесува заедно со известувањето (</w:t>
      </w:r>
      <w:r w:rsidRPr="00C34554">
        <w:rPr>
          <w:rFonts w:ascii="SkolaSans" w:hAnsi="SkolaSans" w:cs="TimesNewRomanPS-BoldMT"/>
          <w:bCs/>
          <w:sz w:val="18"/>
          <w:szCs w:val="18"/>
          <w:lang w:val="mk-MK"/>
        </w:rPr>
        <w:t xml:space="preserve">„Службен весник на Република Македонија“ </w:t>
      </w:r>
      <w:r w:rsidRPr="00C34554">
        <w:rPr>
          <w:rFonts w:ascii="SkolaSans" w:hAnsi="SkolaSans"/>
          <w:sz w:val="18"/>
          <w:szCs w:val="18"/>
          <w:lang w:val="mk-MK"/>
        </w:rPr>
        <w:t xml:space="preserve"> бр.44/12).</w:t>
      </w:r>
    </w:p>
  </w:footnote>
  <w:footnote w:id="4">
    <w:p w:rsidR="00432561" w:rsidRPr="00C34554" w:rsidRDefault="00432561" w:rsidP="00C34554">
      <w:pPr>
        <w:pStyle w:val="FootnoteText"/>
        <w:jc w:val="both"/>
        <w:rPr>
          <w:rFonts w:ascii="SkolaSans" w:hAnsi="SkolaSans"/>
          <w:sz w:val="18"/>
          <w:szCs w:val="18"/>
          <w:lang w:val="mk-MK"/>
        </w:rPr>
      </w:pPr>
      <w:r w:rsidRPr="00C34554">
        <w:rPr>
          <w:rStyle w:val="FootnoteReference"/>
          <w:rFonts w:ascii="SkolaSans" w:hAnsi="SkolaSans"/>
          <w:sz w:val="18"/>
          <w:szCs w:val="18"/>
        </w:rPr>
        <w:footnoteRef/>
      </w:r>
      <w:r w:rsidRPr="00C34554">
        <w:rPr>
          <w:rFonts w:ascii="SkolaSans" w:hAnsi="SkolaSans"/>
          <w:sz w:val="18"/>
          <w:szCs w:val="18"/>
        </w:rPr>
        <w:t xml:space="preserve"> </w:t>
      </w:r>
      <w:r w:rsidRPr="00C34554">
        <w:rPr>
          <w:rFonts w:ascii="SkolaSans" w:hAnsi="SkolaSans"/>
          <w:sz w:val="18"/>
          <w:szCs w:val="18"/>
          <w:lang w:val="mk-MK"/>
        </w:rPr>
        <w:t>Следните категории се применуваат алтернативно, а не кумулативно, односно исполнувањето на сите критериуми на било која од категориите споменати во точка 6 (а), (б), (в)  или (г) или точка 7 во принцип значи дека концентрацијата за која е поднесено известување е во согласност со Законот. Концентрацијата може да ги исполнува критериумите од повеќе од една од категориите утврдени во овие Насоки. Оттука, подносителите на известувањето може да се повикаат во известувањето за концентрација на повеќе категории опишани во овие Насоки)</w:t>
      </w:r>
    </w:p>
  </w:footnote>
  <w:footnote w:id="5">
    <w:p w:rsidR="00432561" w:rsidRPr="00C34554" w:rsidRDefault="00432561" w:rsidP="00C34554">
      <w:pPr>
        <w:shd w:val="clear" w:color="auto" w:fill="FFFFFF"/>
        <w:tabs>
          <w:tab w:val="left" w:pos="226"/>
        </w:tabs>
        <w:spacing w:after="120"/>
        <w:ind w:left="226" w:right="5" w:hanging="226"/>
        <w:jc w:val="both"/>
        <w:rPr>
          <w:rFonts w:ascii="SkolaSans" w:hAnsi="SkolaSans"/>
          <w:sz w:val="18"/>
          <w:szCs w:val="18"/>
        </w:rPr>
      </w:pPr>
      <w:r w:rsidRPr="00C34554">
        <w:rPr>
          <w:rStyle w:val="FootnoteReference"/>
          <w:rFonts w:ascii="SkolaSans" w:hAnsi="SkolaSans"/>
          <w:sz w:val="18"/>
          <w:szCs w:val="18"/>
        </w:rPr>
        <w:footnoteRef/>
      </w:r>
      <w:r w:rsidRPr="00C34554">
        <w:rPr>
          <w:rFonts w:ascii="SkolaSans" w:hAnsi="SkolaSans"/>
          <w:sz w:val="18"/>
          <w:szCs w:val="18"/>
        </w:rPr>
        <w:t xml:space="preserve"> </w:t>
      </w:r>
      <w:r w:rsidRPr="00C34554">
        <w:rPr>
          <w:rFonts w:ascii="SkolaSans" w:hAnsi="SkolaSans"/>
          <w:sz w:val="18"/>
          <w:szCs w:val="18"/>
          <w:lang w:val="mk-MK"/>
        </w:rPr>
        <w:t>Изразот „и/или“ се однесува на различни ситуации, како на пример:</w:t>
      </w:r>
    </w:p>
    <w:p w:rsidR="00432561" w:rsidRPr="00C34554" w:rsidRDefault="00432561" w:rsidP="00C34554">
      <w:pPr>
        <w:numPr>
          <w:ilvl w:val="0"/>
          <w:numId w:val="2"/>
        </w:numPr>
        <w:shd w:val="clear" w:color="auto" w:fill="FFFFFF"/>
        <w:tabs>
          <w:tab w:val="left" w:pos="475"/>
        </w:tabs>
        <w:spacing w:after="120"/>
        <w:ind w:left="475" w:hanging="250"/>
        <w:jc w:val="both"/>
        <w:rPr>
          <w:rFonts w:ascii="SkolaSans" w:hAnsi="SkolaSans"/>
          <w:sz w:val="18"/>
          <w:szCs w:val="18"/>
        </w:rPr>
      </w:pPr>
      <w:r w:rsidRPr="00C34554">
        <w:rPr>
          <w:rFonts w:ascii="SkolaSans" w:hAnsi="SkolaSans"/>
          <w:sz w:val="18"/>
          <w:szCs w:val="18"/>
          <w:lang w:val="mk-MK"/>
        </w:rPr>
        <w:t>во случај на заедничко купување на едно претпријатие, (целно претпријатие) приходот кој треба да се земе предвид е приходот на целното претпријатие (заедничкото вложување),</w:t>
      </w:r>
    </w:p>
    <w:p w:rsidR="00432561" w:rsidRPr="00C34554" w:rsidRDefault="00432561" w:rsidP="00C34554">
      <w:pPr>
        <w:numPr>
          <w:ilvl w:val="0"/>
          <w:numId w:val="2"/>
        </w:numPr>
        <w:shd w:val="clear" w:color="auto" w:fill="FFFFFF"/>
        <w:tabs>
          <w:tab w:val="left" w:pos="475"/>
        </w:tabs>
        <w:spacing w:after="120"/>
        <w:ind w:left="475" w:hanging="250"/>
        <w:jc w:val="both"/>
        <w:rPr>
          <w:rFonts w:ascii="SkolaSans" w:hAnsi="SkolaSans"/>
          <w:sz w:val="18"/>
          <w:szCs w:val="18"/>
        </w:rPr>
      </w:pPr>
      <w:r w:rsidRPr="00C34554">
        <w:rPr>
          <w:rFonts w:ascii="SkolaSans" w:hAnsi="SkolaSans"/>
          <w:sz w:val="18"/>
          <w:szCs w:val="18"/>
          <w:lang w:val="mk-MK"/>
        </w:rPr>
        <w:t>во случај на создавање на заедничко вложување во кое владеачките претпријатија придонесуваат со (ги префрлаат) своите активности, приходот кој треба да се земе предвид е оној на пренесените активности,</w:t>
      </w:r>
    </w:p>
    <w:p w:rsidR="00432561" w:rsidRPr="00C34554" w:rsidRDefault="00432561" w:rsidP="00C34554">
      <w:pPr>
        <w:numPr>
          <w:ilvl w:val="0"/>
          <w:numId w:val="2"/>
        </w:numPr>
        <w:shd w:val="clear" w:color="auto" w:fill="FFFFFF"/>
        <w:tabs>
          <w:tab w:val="left" w:pos="475"/>
        </w:tabs>
        <w:spacing w:after="120"/>
        <w:ind w:left="475" w:hanging="250"/>
        <w:jc w:val="both"/>
        <w:rPr>
          <w:rFonts w:ascii="SkolaSans" w:hAnsi="SkolaSans"/>
          <w:sz w:val="18"/>
          <w:szCs w:val="18"/>
        </w:rPr>
      </w:pPr>
      <w:r w:rsidRPr="00C34554">
        <w:rPr>
          <w:rFonts w:ascii="SkolaSans" w:hAnsi="SkolaSans"/>
          <w:sz w:val="18"/>
          <w:szCs w:val="18"/>
          <w:lang w:val="mk-MK"/>
        </w:rPr>
        <w:t>во случај на влез на ново претпријатие кое има контрола во постојното заедничко вложување, мора да се земат предвид приходот на заедничкото вложување и приходот на активностите кои се пренесуваат од новото владеачко претпријатие (доколку има такви).</w:t>
      </w:r>
    </w:p>
  </w:footnote>
  <w:footnote w:id="6">
    <w:p w:rsidR="00432561" w:rsidRPr="00C34554" w:rsidRDefault="00432561" w:rsidP="00C34554">
      <w:pPr>
        <w:pStyle w:val="FootnoteText"/>
        <w:jc w:val="both"/>
        <w:rPr>
          <w:rFonts w:ascii="SkolaSans" w:hAnsi="SkolaSans"/>
          <w:sz w:val="18"/>
          <w:szCs w:val="18"/>
          <w:lang w:val="mk-MK"/>
        </w:rPr>
      </w:pPr>
      <w:r w:rsidRPr="00C34554">
        <w:rPr>
          <w:rStyle w:val="FootnoteReference"/>
          <w:rFonts w:ascii="SkolaSans" w:hAnsi="SkolaSans"/>
          <w:sz w:val="18"/>
          <w:szCs w:val="18"/>
        </w:rPr>
        <w:footnoteRef/>
      </w:r>
      <w:r w:rsidRPr="00C34554">
        <w:rPr>
          <w:rFonts w:ascii="SkolaSans" w:hAnsi="SkolaSans"/>
          <w:sz w:val="18"/>
          <w:szCs w:val="18"/>
        </w:rPr>
        <w:t xml:space="preserve"> </w:t>
      </w:r>
      <w:r w:rsidRPr="00C34554">
        <w:rPr>
          <w:rFonts w:ascii="SkolaSans" w:hAnsi="SkolaSans"/>
          <w:sz w:val="18"/>
          <w:szCs w:val="18"/>
          <w:lang w:val="mk-MK"/>
        </w:rPr>
        <w:t xml:space="preserve">Приходот на заедничкото вложување може да се утврди според најновите ревизорски извештаи  на владеачките претпријатија, или на самото заедничко вложување, зависно од достапноста на одвоени сметки за ресурсите комбинирани во заедничкото вложување.  </w:t>
      </w:r>
    </w:p>
  </w:footnote>
  <w:footnote w:id="7">
    <w:p w:rsidR="00432561" w:rsidRPr="00C34554" w:rsidRDefault="00432561" w:rsidP="00C34554">
      <w:pPr>
        <w:pStyle w:val="FootnoteText"/>
        <w:jc w:val="both"/>
        <w:rPr>
          <w:rFonts w:ascii="SkolaSans" w:hAnsi="SkolaSans"/>
          <w:sz w:val="18"/>
          <w:szCs w:val="18"/>
          <w:lang w:val="mk-MK"/>
        </w:rPr>
      </w:pPr>
      <w:r w:rsidRPr="00C34554">
        <w:rPr>
          <w:rStyle w:val="FootnoteReference"/>
          <w:rFonts w:ascii="SkolaSans" w:hAnsi="SkolaSans"/>
          <w:sz w:val="18"/>
          <w:szCs w:val="18"/>
        </w:rPr>
        <w:footnoteRef/>
      </w:r>
      <w:r w:rsidRPr="00C34554">
        <w:rPr>
          <w:rFonts w:ascii="SkolaSans" w:hAnsi="SkolaSans"/>
          <w:sz w:val="18"/>
          <w:szCs w:val="18"/>
        </w:rPr>
        <w:t xml:space="preserve"> </w:t>
      </w:r>
      <w:r w:rsidRPr="00C34554">
        <w:rPr>
          <w:rFonts w:ascii="SkolaSans" w:hAnsi="SkolaSans"/>
          <w:sz w:val="18"/>
          <w:szCs w:val="18"/>
          <w:lang w:val="mk-MK"/>
        </w:rPr>
        <w:t>Вкупната вредност на средствата на заедничкото вложување може да се одреди во согласност со последниот изготвен и одобрен книговодствен биланс на состојба на секое владеачко претпријатие.</w:t>
      </w:r>
      <w:r w:rsidRPr="00C34554">
        <w:rPr>
          <w:rFonts w:ascii="SkolaSans" w:hAnsi="SkolaSans"/>
          <w:sz w:val="18"/>
          <w:szCs w:val="18"/>
        </w:rPr>
        <w:t xml:space="preserve"> </w:t>
      </w:r>
      <w:r w:rsidRPr="00C34554">
        <w:rPr>
          <w:rFonts w:ascii="SkolaSans" w:hAnsi="SkolaSans"/>
          <w:sz w:val="18"/>
          <w:szCs w:val="18"/>
          <w:lang w:val="mk-MK"/>
        </w:rPr>
        <w:t>Терминот „средства“ вклучува:</w:t>
      </w:r>
      <w:r w:rsidRPr="00C34554">
        <w:rPr>
          <w:rFonts w:ascii="SkolaSans" w:hAnsi="SkolaSans"/>
          <w:sz w:val="18"/>
          <w:szCs w:val="18"/>
        </w:rPr>
        <w:t xml:space="preserve"> </w:t>
      </w:r>
      <w:r w:rsidRPr="00C34554">
        <w:rPr>
          <w:rFonts w:ascii="SkolaSans" w:hAnsi="SkolaSans"/>
          <w:sz w:val="18"/>
          <w:szCs w:val="18"/>
          <w:lang w:val="mk-MK"/>
        </w:rPr>
        <w:t xml:space="preserve">(1) сите материјални и нематеријални средства кои ќе бидат префрлени во заедничкото вложување (примери за материјални средства се производствени капацитети и трговски објекти за продажба на големо и мало, залихи на стоки; примери за нематеријални средства се интелектуална сопственост, </w:t>
      </w:r>
      <w:r w:rsidRPr="00C34554">
        <w:rPr>
          <w:rFonts w:ascii="SkolaSans" w:hAnsi="SkolaSans"/>
          <w:sz w:val="18"/>
          <w:szCs w:val="18"/>
        </w:rPr>
        <w:t>goodwill</w:t>
      </w:r>
      <w:r w:rsidRPr="00C34554">
        <w:rPr>
          <w:rFonts w:ascii="SkolaSans" w:hAnsi="SkolaSans"/>
          <w:sz w:val="18"/>
          <w:szCs w:val="18"/>
          <w:lang w:val="mk-MK"/>
        </w:rPr>
        <w:t xml:space="preserve"> итн.) и (2) било кој кредит или обврски на заедничкото вложување кои било кое владеачко претпријатие се согласува да ги продолжи или гарантира на заедничкото вложување. Кога пренесените средства генерираат приход, во времето на поднесување на известувањето, тогаш ниту вредноста на средствата, ниту годишниот приход не смее да надмине 1 милион евра.</w:t>
      </w:r>
    </w:p>
    <w:p w:rsidR="00432561" w:rsidRPr="00C34554" w:rsidRDefault="00432561" w:rsidP="00C34554">
      <w:pPr>
        <w:pStyle w:val="FootnoteText"/>
        <w:jc w:val="both"/>
        <w:rPr>
          <w:rFonts w:ascii="SkolaSans" w:hAnsi="SkolaSans"/>
          <w:sz w:val="18"/>
          <w:szCs w:val="18"/>
        </w:rPr>
      </w:pPr>
      <w:r w:rsidRPr="00C34554">
        <w:rPr>
          <w:rFonts w:ascii="SkolaSans" w:hAnsi="SkolaSans"/>
          <w:sz w:val="18"/>
          <w:szCs w:val="18"/>
          <w:lang w:val="mk-MK"/>
        </w:rPr>
        <w:t>Кога пренесените средства создаваат приход, тогаш ниту вредноста на средствата ниту приходот не  можат да надминуваат 1милион евра.</w:t>
      </w:r>
    </w:p>
  </w:footnote>
  <w:footnote w:id="8">
    <w:p w:rsidR="00432561" w:rsidRPr="00C34554" w:rsidRDefault="00432561" w:rsidP="00C34554">
      <w:pPr>
        <w:pStyle w:val="FootnoteText"/>
        <w:jc w:val="both"/>
        <w:rPr>
          <w:rFonts w:ascii="SkolaSans" w:hAnsi="SkolaSans"/>
          <w:sz w:val="18"/>
          <w:szCs w:val="18"/>
          <w:lang w:val="mk-MK"/>
        </w:rPr>
      </w:pPr>
      <w:r w:rsidRPr="00C34554">
        <w:rPr>
          <w:rStyle w:val="FootnoteReference"/>
          <w:rFonts w:ascii="SkolaSans" w:hAnsi="SkolaSans"/>
          <w:sz w:val="18"/>
          <w:szCs w:val="18"/>
        </w:rPr>
        <w:footnoteRef/>
      </w:r>
      <w:r w:rsidRPr="00C34554">
        <w:rPr>
          <w:rFonts w:ascii="SkolaSans" w:hAnsi="SkolaSans"/>
          <w:sz w:val="18"/>
          <w:szCs w:val="18"/>
        </w:rPr>
        <w:t xml:space="preserve"> </w:t>
      </w:r>
      <w:r w:rsidRPr="00C34554">
        <w:rPr>
          <w:rFonts w:ascii="SkolaSans" w:hAnsi="SkolaSans"/>
          <w:sz w:val="18"/>
          <w:szCs w:val="18"/>
          <w:lang w:val="mk-MK"/>
        </w:rPr>
        <w:t>Погледнете ги Насоките за дефинирање на релевантен пазар за целите на Законот за заштита на конкуренцијата</w:t>
      </w:r>
    </w:p>
  </w:footnote>
  <w:footnote w:id="9">
    <w:p w:rsidR="00432561" w:rsidRPr="00C34554" w:rsidRDefault="00432561" w:rsidP="00C34554">
      <w:pPr>
        <w:spacing w:after="120"/>
        <w:jc w:val="both"/>
        <w:rPr>
          <w:rStyle w:val="FootnoteReference"/>
          <w:rFonts w:ascii="SkolaSans" w:hAnsi="SkolaSans"/>
          <w:sz w:val="18"/>
          <w:szCs w:val="18"/>
        </w:rPr>
      </w:pPr>
      <w:r w:rsidRPr="00C34554">
        <w:rPr>
          <w:rStyle w:val="FootnoteReference"/>
          <w:rFonts w:ascii="SkolaSans" w:hAnsi="SkolaSans"/>
          <w:sz w:val="18"/>
          <w:szCs w:val="18"/>
        </w:rPr>
        <w:footnoteRef/>
      </w:r>
      <w:r w:rsidRPr="00C34554">
        <w:rPr>
          <w:rFonts w:ascii="SkolaSans" w:hAnsi="SkolaSans"/>
          <w:sz w:val="18"/>
          <w:szCs w:val="18"/>
        </w:rPr>
        <w:t xml:space="preserve"> </w:t>
      </w:r>
      <w:r w:rsidRPr="00C34554">
        <w:rPr>
          <w:rFonts w:ascii="SkolaSans" w:hAnsi="SkolaSans"/>
          <w:sz w:val="18"/>
          <w:szCs w:val="18"/>
          <w:lang w:val="mk-MK"/>
        </w:rPr>
        <w:t>Вертикална поврзаност вообичаено подразбира</w:t>
      </w:r>
      <w:r w:rsidRPr="00C34554">
        <w:rPr>
          <w:rStyle w:val="FootnoteReference"/>
          <w:rFonts w:ascii="SkolaSans" w:hAnsi="SkolaSans"/>
          <w:sz w:val="18"/>
          <w:szCs w:val="18"/>
          <w:vertAlign w:val="baseline"/>
          <w:lang w:val="mk-MK"/>
        </w:rPr>
        <w:t xml:space="preserve"> дека стока</w:t>
      </w:r>
      <w:r w:rsidRPr="00C34554">
        <w:rPr>
          <w:rFonts w:ascii="SkolaSans" w:hAnsi="SkolaSans"/>
          <w:sz w:val="18"/>
          <w:szCs w:val="18"/>
          <w:lang w:val="mk-MK"/>
        </w:rPr>
        <w:t>та</w:t>
      </w:r>
      <w:r w:rsidRPr="00C34554">
        <w:rPr>
          <w:rStyle w:val="FootnoteReference"/>
          <w:rFonts w:ascii="SkolaSans" w:hAnsi="SkolaSans"/>
          <w:sz w:val="18"/>
          <w:szCs w:val="18"/>
          <w:vertAlign w:val="baseline"/>
          <w:lang w:val="mk-MK"/>
        </w:rPr>
        <w:t xml:space="preserve"> или услуг</w:t>
      </w:r>
      <w:r w:rsidRPr="00C34554">
        <w:rPr>
          <w:rFonts w:ascii="SkolaSans" w:hAnsi="SkolaSans"/>
          <w:sz w:val="18"/>
          <w:szCs w:val="18"/>
          <w:lang w:val="mk-MK"/>
        </w:rPr>
        <w:t>ата</w:t>
      </w:r>
      <w:r w:rsidRPr="00C34554">
        <w:rPr>
          <w:rStyle w:val="FootnoteReference"/>
          <w:rFonts w:ascii="SkolaSans" w:hAnsi="SkolaSans"/>
          <w:sz w:val="18"/>
          <w:szCs w:val="18"/>
          <w:vertAlign w:val="baseline"/>
          <w:lang w:val="mk-MK"/>
        </w:rPr>
        <w:t xml:space="preserve"> на претпријатие</w:t>
      </w:r>
      <w:r w:rsidRPr="00C34554">
        <w:rPr>
          <w:rFonts w:ascii="SkolaSans" w:hAnsi="SkolaSans"/>
          <w:sz w:val="18"/>
          <w:szCs w:val="18"/>
          <w:lang w:val="mk-MK"/>
        </w:rPr>
        <w:t>то активно на предметниот нагорен пазар претставуваат значаен инпут за стоката или услугата на претпријатието активно на надолниот пазар.</w:t>
      </w:r>
      <w:r w:rsidR="00317F44">
        <w:rPr>
          <w:rFonts w:ascii="SkolaSans" w:hAnsi="SkolaSans"/>
          <w:sz w:val="18"/>
          <w:szCs w:val="18"/>
        </w:rPr>
        <w:t xml:space="preserve"> </w:t>
      </w:r>
      <w:r w:rsidRPr="00C34554">
        <w:rPr>
          <w:rFonts w:ascii="SkolaSans" w:hAnsi="SkolaSans"/>
          <w:sz w:val="18"/>
          <w:szCs w:val="18"/>
          <w:lang w:val="mk-MK"/>
        </w:rPr>
        <w:t xml:space="preserve">Погледнете ги Насоките за оценка на вертикални и конгломерантни концентрации.  </w:t>
      </w:r>
      <w:r w:rsidRPr="00C34554">
        <w:rPr>
          <w:rStyle w:val="FootnoteReference"/>
          <w:rFonts w:ascii="SkolaSans" w:hAnsi="SkolaSans"/>
          <w:sz w:val="18"/>
          <w:szCs w:val="18"/>
          <w:vertAlign w:val="baseline"/>
          <w:lang w:val="mk-MK"/>
        </w:rPr>
        <w:t xml:space="preserve"> </w:t>
      </w:r>
      <w:r w:rsidRPr="00C34554">
        <w:rPr>
          <w:rStyle w:val="FootnoteReference"/>
          <w:rFonts w:ascii="SkolaSans" w:hAnsi="SkolaSans"/>
          <w:sz w:val="18"/>
          <w:szCs w:val="18"/>
        </w:rPr>
        <w:t xml:space="preserve">  </w:t>
      </w:r>
    </w:p>
  </w:footnote>
  <w:footnote w:id="10">
    <w:p w:rsidR="00432561" w:rsidRPr="00C34554" w:rsidRDefault="00432561" w:rsidP="00C34554">
      <w:pPr>
        <w:pStyle w:val="FootnoteText"/>
        <w:jc w:val="both"/>
        <w:rPr>
          <w:rFonts w:ascii="SkolaSans" w:hAnsi="SkolaSans"/>
          <w:sz w:val="18"/>
          <w:szCs w:val="18"/>
          <w:lang w:val="mk-MK"/>
        </w:rPr>
      </w:pPr>
      <w:r w:rsidRPr="00C34554">
        <w:rPr>
          <w:rStyle w:val="FootnoteReference"/>
          <w:rFonts w:ascii="SkolaSans" w:hAnsi="SkolaSans"/>
          <w:sz w:val="18"/>
          <w:szCs w:val="18"/>
        </w:rPr>
        <w:footnoteRef/>
      </w:r>
      <w:r w:rsidRPr="00C34554">
        <w:rPr>
          <w:rFonts w:ascii="SkolaSans" w:hAnsi="SkolaSans"/>
          <w:sz w:val="18"/>
          <w:szCs w:val="18"/>
        </w:rPr>
        <w:t xml:space="preserve"> </w:t>
      </w:r>
      <w:r w:rsidRPr="00C34554">
        <w:rPr>
          <w:rFonts w:ascii="SkolaSans" w:hAnsi="SkolaSans"/>
          <w:sz w:val="18"/>
          <w:szCs w:val="18"/>
          <w:lang w:val="mk-MK"/>
        </w:rPr>
        <w:t>Види ја фуснотата 7</w:t>
      </w:r>
    </w:p>
  </w:footnote>
  <w:footnote w:id="11">
    <w:p w:rsidR="00432561" w:rsidRPr="00C34554" w:rsidRDefault="00432561" w:rsidP="00C34554">
      <w:pPr>
        <w:pStyle w:val="FootnoteText"/>
        <w:jc w:val="both"/>
        <w:rPr>
          <w:rFonts w:ascii="SkolaSans" w:hAnsi="SkolaSans"/>
          <w:sz w:val="18"/>
          <w:szCs w:val="18"/>
          <w:lang w:val="mk-MK"/>
        </w:rPr>
      </w:pPr>
      <w:r w:rsidRPr="00C34554">
        <w:rPr>
          <w:rStyle w:val="FootnoteReference"/>
          <w:rFonts w:ascii="SkolaSans" w:hAnsi="SkolaSans"/>
          <w:sz w:val="18"/>
          <w:szCs w:val="18"/>
        </w:rPr>
        <w:footnoteRef/>
      </w:r>
      <w:r w:rsidRPr="00C34554">
        <w:rPr>
          <w:rFonts w:ascii="SkolaSans" w:hAnsi="SkolaSans"/>
          <w:sz w:val="18"/>
          <w:szCs w:val="18"/>
        </w:rPr>
        <w:t xml:space="preserve"> </w:t>
      </w:r>
      <w:r w:rsidRPr="00C34554">
        <w:rPr>
          <w:rFonts w:ascii="SkolaSans" w:hAnsi="SkolaSans"/>
          <w:sz w:val="18"/>
          <w:szCs w:val="18"/>
          <w:lang w:val="mk-MK"/>
        </w:rPr>
        <w:t>Праговите за хоризонтални и вертикални односи се применуваат и на која било друга подобна алтернативна дефиниција за пазар на стоки  и географски пазар која може да биде разгледана во даден случај.</w:t>
      </w:r>
      <w:r w:rsidRPr="00C34554">
        <w:rPr>
          <w:rFonts w:ascii="SkolaSans" w:hAnsi="SkolaSans"/>
          <w:sz w:val="18"/>
          <w:szCs w:val="18"/>
        </w:rPr>
        <w:t xml:space="preserve"> </w:t>
      </w:r>
      <w:r w:rsidRPr="00C34554">
        <w:rPr>
          <w:rFonts w:ascii="SkolaSans" w:hAnsi="SkolaSans"/>
          <w:sz w:val="18"/>
          <w:szCs w:val="18"/>
          <w:lang w:val="mk-MK"/>
        </w:rPr>
        <w:t>Важно е основните дефиниции за релевантните пазари наведени во известувањето да бидат доволно прецизни за да ја оправдаат оценката дека овие прагови не се надминуваат и дека се споменати сите подобни алтернативни дефиниции за пазар (вклучувајќи ги и географските пазари кои се потесни од националните).</w:t>
      </w:r>
    </w:p>
  </w:footnote>
  <w:footnote w:id="12">
    <w:p w:rsidR="00432561" w:rsidRPr="00C34554" w:rsidRDefault="00432561" w:rsidP="00C34554">
      <w:pPr>
        <w:pStyle w:val="FootnoteText"/>
        <w:jc w:val="both"/>
        <w:rPr>
          <w:rFonts w:ascii="SkolaSans" w:hAnsi="SkolaSans"/>
          <w:sz w:val="18"/>
          <w:szCs w:val="18"/>
        </w:rPr>
      </w:pPr>
      <w:r w:rsidRPr="00C34554">
        <w:rPr>
          <w:rStyle w:val="FootnoteReference"/>
          <w:rFonts w:ascii="SkolaSans" w:hAnsi="SkolaSans"/>
          <w:sz w:val="18"/>
          <w:szCs w:val="18"/>
        </w:rPr>
        <w:footnoteRef/>
      </w:r>
      <w:r w:rsidRPr="00C34554">
        <w:rPr>
          <w:rFonts w:ascii="SkolaSans" w:hAnsi="SkolaSans"/>
          <w:sz w:val="18"/>
          <w:szCs w:val="18"/>
        </w:rPr>
        <w:t xml:space="preserve"> </w:t>
      </w:r>
      <w:r w:rsidRPr="00C34554">
        <w:rPr>
          <w:rFonts w:ascii="SkolaSans" w:hAnsi="SkolaSans"/>
          <w:sz w:val="18"/>
          <w:szCs w:val="18"/>
          <w:lang w:val="mk-MK"/>
        </w:rPr>
        <w:t>Да се види фуснота 8.</w:t>
      </w:r>
    </w:p>
  </w:footnote>
  <w:footnote w:id="13">
    <w:p w:rsidR="00432561" w:rsidRPr="00C34554" w:rsidRDefault="00432561" w:rsidP="00C34554">
      <w:pPr>
        <w:pStyle w:val="FootnoteText"/>
        <w:jc w:val="both"/>
        <w:rPr>
          <w:rFonts w:ascii="SkolaSans" w:hAnsi="SkolaSans"/>
          <w:sz w:val="18"/>
          <w:szCs w:val="18"/>
        </w:rPr>
      </w:pPr>
      <w:r w:rsidRPr="00C34554">
        <w:rPr>
          <w:rStyle w:val="FootnoteReference"/>
          <w:rFonts w:ascii="SkolaSans" w:hAnsi="SkolaSans"/>
          <w:sz w:val="18"/>
          <w:szCs w:val="18"/>
        </w:rPr>
        <w:footnoteRef/>
      </w:r>
      <w:r w:rsidRPr="00C34554">
        <w:rPr>
          <w:rFonts w:ascii="SkolaSans" w:hAnsi="SkolaSans"/>
          <w:sz w:val="18"/>
          <w:szCs w:val="18"/>
          <w:lang w:val="mk-MK"/>
        </w:rPr>
        <w:t xml:space="preserve"> Да се види фуснота 10.</w:t>
      </w:r>
    </w:p>
  </w:footnote>
  <w:footnote w:id="14">
    <w:p w:rsidR="00432561" w:rsidRPr="00C34554" w:rsidRDefault="00432561" w:rsidP="00C34554">
      <w:pPr>
        <w:jc w:val="both"/>
        <w:rPr>
          <w:rFonts w:ascii="SkolaSans" w:hAnsi="SkolaSans"/>
          <w:sz w:val="18"/>
          <w:szCs w:val="18"/>
          <w:lang w:val="mk-MK"/>
        </w:rPr>
      </w:pPr>
      <w:r w:rsidRPr="00C34554">
        <w:rPr>
          <w:rStyle w:val="FootnoteReference"/>
          <w:rFonts w:ascii="SkolaSans" w:hAnsi="SkolaSans"/>
          <w:sz w:val="18"/>
          <w:szCs w:val="18"/>
        </w:rPr>
        <w:footnoteRef/>
      </w:r>
      <w:r w:rsidRPr="00C34554">
        <w:rPr>
          <w:rFonts w:ascii="SkolaSans" w:hAnsi="SkolaSans"/>
          <w:sz w:val="18"/>
          <w:szCs w:val="18"/>
        </w:rPr>
        <w:t xml:space="preserve"> Индексот</w:t>
      </w:r>
      <w:r w:rsidRPr="00C34554">
        <w:rPr>
          <w:rFonts w:ascii="SkolaSans" w:hAnsi="SkolaSans"/>
          <w:sz w:val="18"/>
          <w:szCs w:val="18"/>
          <w:lang w:val="mk-MK"/>
        </w:rPr>
        <w:t xml:space="preserve"> </w:t>
      </w:r>
      <w:r w:rsidRPr="00C34554">
        <w:rPr>
          <w:rFonts w:ascii="SkolaSans" w:hAnsi="SkolaSans"/>
          <w:sz w:val="18"/>
          <w:szCs w:val="18"/>
        </w:rPr>
        <w:t>ННI се</w:t>
      </w:r>
      <w:r w:rsidRPr="00C34554">
        <w:rPr>
          <w:rFonts w:ascii="SkolaSans" w:hAnsi="SkolaSans"/>
          <w:sz w:val="18"/>
          <w:szCs w:val="18"/>
          <w:lang w:val="mk-MK"/>
        </w:rPr>
        <w:t xml:space="preserve"> </w:t>
      </w:r>
      <w:r w:rsidRPr="00C34554">
        <w:rPr>
          <w:rFonts w:ascii="SkolaSans" w:hAnsi="SkolaSans"/>
          <w:sz w:val="18"/>
          <w:szCs w:val="18"/>
        </w:rPr>
        <w:t>пресметува</w:t>
      </w:r>
      <w:r w:rsidRPr="00C34554">
        <w:rPr>
          <w:rFonts w:ascii="SkolaSans" w:hAnsi="SkolaSans"/>
          <w:sz w:val="18"/>
          <w:szCs w:val="18"/>
          <w:lang w:val="mk-MK"/>
        </w:rPr>
        <w:t xml:space="preserve"> </w:t>
      </w:r>
      <w:r w:rsidRPr="00C34554">
        <w:rPr>
          <w:rFonts w:ascii="SkolaSans" w:hAnsi="SkolaSans"/>
          <w:sz w:val="18"/>
          <w:szCs w:val="18"/>
        </w:rPr>
        <w:t>како</w:t>
      </w:r>
      <w:r w:rsidRPr="00C34554">
        <w:rPr>
          <w:rFonts w:ascii="SkolaSans" w:hAnsi="SkolaSans"/>
          <w:sz w:val="18"/>
          <w:szCs w:val="18"/>
          <w:lang w:val="mk-MK"/>
        </w:rPr>
        <w:t xml:space="preserve"> </w:t>
      </w:r>
      <w:r w:rsidRPr="00C34554">
        <w:rPr>
          <w:rFonts w:ascii="SkolaSans" w:hAnsi="SkolaSans"/>
          <w:sz w:val="18"/>
          <w:szCs w:val="18"/>
        </w:rPr>
        <w:t>збир</w:t>
      </w:r>
      <w:r w:rsidRPr="00C34554">
        <w:rPr>
          <w:rFonts w:ascii="SkolaSans" w:hAnsi="SkolaSans"/>
          <w:sz w:val="18"/>
          <w:szCs w:val="18"/>
          <w:lang w:val="mk-MK"/>
        </w:rPr>
        <w:t xml:space="preserve"> </w:t>
      </w:r>
      <w:r w:rsidRPr="00C34554">
        <w:rPr>
          <w:rFonts w:ascii="SkolaSans" w:hAnsi="SkolaSans"/>
          <w:sz w:val="18"/>
          <w:szCs w:val="18"/>
        </w:rPr>
        <w:t>на</w:t>
      </w:r>
      <w:r w:rsidRPr="00C34554">
        <w:rPr>
          <w:rFonts w:ascii="SkolaSans" w:hAnsi="SkolaSans"/>
          <w:sz w:val="18"/>
          <w:szCs w:val="18"/>
          <w:lang w:val="mk-MK"/>
        </w:rPr>
        <w:t xml:space="preserve"> </w:t>
      </w:r>
      <w:r w:rsidRPr="00C34554">
        <w:rPr>
          <w:rFonts w:ascii="SkolaSans" w:hAnsi="SkolaSans"/>
          <w:sz w:val="18"/>
          <w:szCs w:val="18"/>
        </w:rPr>
        <w:t>квадратите</w:t>
      </w:r>
      <w:r w:rsidRPr="00C34554">
        <w:rPr>
          <w:rFonts w:ascii="SkolaSans" w:hAnsi="SkolaSans"/>
          <w:sz w:val="18"/>
          <w:szCs w:val="18"/>
          <w:lang w:val="mk-MK"/>
        </w:rPr>
        <w:t xml:space="preserve"> </w:t>
      </w:r>
      <w:r w:rsidRPr="00C34554">
        <w:rPr>
          <w:rFonts w:ascii="SkolaSans" w:hAnsi="SkolaSans"/>
          <w:sz w:val="18"/>
          <w:szCs w:val="18"/>
        </w:rPr>
        <w:t>на</w:t>
      </w:r>
      <w:r w:rsidRPr="00C34554">
        <w:rPr>
          <w:rFonts w:ascii="SkolaSans" w:hAnsi="SkolaSans"/>
          <w:sz w:val="18"/>
          <w:szCs w:val="18"/>
          <w:lang w:val="mk-MK"/>
        </w:rPr>
        <w:t xml:space="preserve"> </w:t>
      </w:r>
      <w:r w:rsidRPr="00C34554">
        <w:rPr>
          <w:rFonts w:ascii="SkolaSans" w:hAnsi="SkolaSans"/>
          <w:sz w:val="18"/>
          <w:szCs w:val="18"/>
        </w:rPr>
        <w:t>индивидуалните</w:t>
      </w:r>
      <w:r w:rsidRPr="00C34554">
        <w:rPr>
          <w:rFonts w:ascii="SkolaSans" w:hAnsi="SkolaSans"/>
          <w:sz w:val="18"/>
          <w:szCs w:val="18"/>
          <w:lang w:val="mk-MK"/>
        </w:rPr>
        <w:t xml:space="preserve"> </w:t>
      </w:r>
      <w:r w:rsidRPr="00C34554">
        <w:rPr>
          <w:rFonts w:ascii="SkolaSans" w:hAnsi="SkolaSans"/>
          <w:sz w:val="18"/>
          <w:szCs w:val="18"/>
        </w:rPr>
        <w:t>пазарни</w:t>
      </w:r>
      <w:r w:rsidRPr="00C34554">
        <w:rPr>
          <w:rFonts w:ascii="SkolaSans" w:hAnsi="SkolaSans"/>
          <w:sz w:val="18"/>
          <w:szCs w:val="18"/>
          <w:lang w:val="mk-MK"/>
        </w:rPr>
        <w:t xml:space="preserve"> </w:t>
      </w:r>
      <w:r w:rsidRPr="00C34554">
        <w:rPr>
          <w:rFonts w:ascii="SkolaSans" w:hAnsi="SkolaSans"/>
          <w:sz w:val="18"/>
          <w:szCs w:val="18"/>
        </w:rPr>
        <w:t>удели</w:t>
      </w:r>
      <w:r w:rsidRPr="00C34554">
        <w:rPr>
          <w:rFonts w:ascii="SkolaSans" w:hAnsi="SkolaSans"/>
          <w:sz w:val="18"/>
          <w:szCs w:val="18"/>
          <w:lang w:val="mk-MK"/>
        </w:rPr>
        <w:t xml:space="preserve"> </w:t>
      </w:r>
      <w:r w:rsidRPr="00C34554">
        <w:rPr>
          <w:rFonts w:ascii="SkolaSans" w:hAnsi="SkolaSans"/>
          <w:sz w:val="18"/>
          <w:szCs w:val="18"/>
        </w:rPr>
        <w:t>на</w:t>
      </w:r>
      <w:r w:rsidRPr="00C34554">
        <w:rPr>
          <w:rFonts w:ascii="SkolaSans" w:hAnsi="SkolaSans"/>
          <w:sz w:val="18"/>
          <w:szCs w:val="18"/>
          <w:lang w:val="mk-MK"/>
        </w:rPr>
        <w:t xml:space="preserve"> </w:t>
      </w:r>
      <w:r w:rsidRPr="00C34554">
        <w:rPr>
          <w:rFonts w:ascii="SkolaSans" w:hAnsi="SkolaSans"/>
          <w:sz w:val="18"/>
          <w:szCs w:val="18"/>
        </w:rPr>
        <w:t>сите</w:t>
      </w:r>
      <w:r w:rsidRPr="00C34554">
        <w:rPr>
          <w:rFonts w:ascii="SkolaSans" w:hAnsi="SkolaSans"/>
          <w:sz w:val="18"/>
          <w:szCs w:val="18"/>
          <w:lang w:val="mk-MK"/>
        </w:rPr>
        <w:t xml:space="preserve"> </w:t>
      </w:r>
      <w:r w:rsidRPr="00C34554">
        <w:rPr>
          <w:rFonts w:ascii="SkolaSans" w:hAnsi="SkolaSans"/>
          <w:sz w:val="18"/>
          <w:szCs w:val="18"/>
        </w:rPr>
        <w:t>претпријатија</w:t>
      </w:r>
      <w:r w:rsidRPr="00C34554">
        <w:rPr>
          <w:rFonts w:ascii="SkolaSans" w:hAnsi="SkolaSans"/>
          <w:sz w:val="18"/>
          <w:szCs w:val="18"/>
          <w:lang w:val="mk-MK"/>
        </w:rPr>
        <w:t xml:space="preserve"> </w:t>
      </w:r>
      <w:r w:rsidRPr="00C34554">
        <w:rPr>
          <w:rFonts w:ascii="SkolaSans" w:hAnsi="SkolaSans"/>
          <w:sz w:val="18"/>
          <w:szCs w:val="18"/>
        </w:rPr>
        <w:t>на</w:t>
      </w:r>
      <w:r w:rsidRPr="00C34554">
        <w:rPr>
          <w:rFonts w:ascii="SkolaSans" w:hAnsi="SkolaSans"/>
          <w:sz w:val="18"/>
          <w:szCs w:val="18"/>
          <w:lang w:val="mk-MK"/>
        </w:rPr>
        <w:t xml:space="preserve"> </w:t>
      </w:r>
      <w:r w:rsidRPr="00C34554">
        <w:rPr>
          <w:rFonts w:ascii="SkolaSans" w:hAnsi="SkolaSans"/>
          <w:sz w:val="18"/>
          <w:szCs w:val="18"/>
        </w:rPr>
        <w:t>пазарот</w:t>
      </w:r>
      <w:r w:rsidRPr="00C34554">
        <w:rPr>
          <w:rFonts w:ascii="SkolaSans" w:hAnsi="SkolaSans"/>
          <w:sz w:val="18"/>
          <w:szCs w:val="18"/>
          <w:lang w:val="mk-MK"/>
        </w:rPr>
        <w:t xml:space="preserve">: Видете ги Насоките за оценка на хоризонталните концентрации за целите на Законот за заштита на конкуренцијата. Сепак со цел да се пресмета делта на </w:t>
      </w:r>
      <w:r w:rsidRPr="00C34554">
        <w:rPr>
          <w:rFonts w:ascii="SkolaSans" w:hAnsi="SkolaSans"/>
          <w:sz w:val="18"/>
          <w:szCs w:val="18"/>
        </w:rPr>
        <w:t>HHI</w:t>
      </w:r>
      <w:r w:rsidRPr="00C34554">
        <w:rPr>
          <w:rFonts w:ascii="SkolaSans" w:hAnsi="SkolaSans"/>
          <w:sz w:val="18"/>
          <w:szCs w:val="18"/>
          <w:lang w:val="mk-MK"/>
        </w:rPr>
        <w:t xml:space="preserve"> која произлегува од концентрацијата, доволно е од квадрираниот збир на  пазарните удели на учесниците во концентрацијата ( односно, квадрираниот износ на пазарниот удел кое споеното претпријатие ќе го има по концентрацијата)  да се одземе  збирот на квадратите на индивидуалните пазарни удели на учесниците во концентрацијата (бидејќи пазарниот удел на сите други конкуренти на пазарот останува ист и не влијае на висината на пресметаната делат). Со други зборови </w:t>
      </w:r>
      <w:r w:rsidRPr="00C34554">
        <w:rPr>
          <w:rFonts w:ascii="SkolaSans" w:hAnsi="SkolaSans"/>
          <w:sz w:val="18"/>
          <w:szCs w:val="18"/>
        </w:rPr>
        <w:t xml:space="preserve">HHI </w:t>
      </w:r>
      <w:r w:rsidRPr="00C34554">
        <w:rPr>
          <w:rFonts w:ascii="SkolaSans" w:hAnsi="SkolaSans"/>
          <w:sz w:val="18"/>
          <w:szCs w:val="18"/>
          <w:lang w:val="mk-MK"/>
        </w:rPr>
        <w:t xml:space="preserve"> делта може да се пресмета врз основа само на пазарните удели на учесниците во концентрацијата, без да се има потреба да се знае пазарниот удел на било кој друг конкурент на пазарот.</w:t>
      </w:r>
    </w:p>
    <w:p w:rsidR="00432561" w:rsidRPr="00C34554" w:rsidRDefault="00432561" w:rsidP="00C34554">
      <w:pPr>
        <w:pStyle w:val="FootnoteText"/>
        <w:jc w:val="both"/>
        <w:rPr>
          <w:rFonts w:ascii="SkolaSans" w:hAnsi="SkolaSans"/>
          <w:sz w:val="18"/>
          <w:szCs w:val="18"/>
          <w:lang w:val="mk-MK"/>
        </w:rPr>
      </w:pPr>
    </w:p>
  </w:footnote>
  <w:footnote w:id="15">
    <w:p w:rsidR="00432561" w:rsidRPr="00C34554" w:rsidRDefault="00432561" w:rsidP="00C34554">
      <w:pPr>
        <w:pStyle w:val="FootnoteText"/>
        <w:jc w:val="both"/>
        <w:rPr>
          <w:rFonts w:ascii="SkolaSans" w:hAnsi="SkolaSans"/>
          <w:sz w:val="18"/>
          <w:szCs w:val="18"/>
          <w:lang w:val="mk-MK"/>
        </w:rPr>
      </w:pPr>
      <w:r w:rsidRPr="00C34554">
        <w:rPr>
          <w:rStyle w:val="FootnoteReference"/>
          <w:rFonts w:ascii="SkolaSans" w:hAnsi="SkolaSans"/>
          <w:sz w:val="18"/>
          <w:szCs w:val="18"/>
        </w:rPr>
        <w:footnoteRef/>
      </w:r>
      <w:r w:rsidRPr="00C34554">
        <w:rPr>
          <w:rFonts w:ascii="SkolaSans" w:hAnsi="SkolaSans"/>
          <w:sz w:val="18"/>
          <w:szCs w:val="18"/>
        </w:rPr>
        <w:t xml:space="preserve"> </w:t>
      </w:r>
      <w:r w:rsidRPr="00C34554">
        <w:rPr>
          <w:rFonts w:ascii="SkolaSans" w:hAnsi="SkolaSans"/>
          <w:sz w:val="18"/>
          <w:szCs w:val="18"/>
          <w:lang w:val="mk-MK"/>
        </w:rPr>
        <w:t>Види фуснота 10</w:t>
      </w:r>
    </w:p>
    <w:p w:rsidR="00432561" w:rsidRPr="00C34554" w:rsidRDefault="00432561" w:rsidP="00C34554">
      <w:pPr>
        <w:pStyle w:val="FootnoteText"/>
        <w:jc w:val="both"/>
        <w:rPr>
          <w:rFonts w:ascii="SkolaSans" w:hAnsi="SkolaSans"/>
          <w:sz w:val="18"/>
          <w:szCs w:val="18"/>
          <w:lang w:val="mk-MK"/>
        </w:rPr>
      </w:pPr>
    </w:p>
  </w:footnote>
  <w:footnote w:id="16">
    <w:p w:rsidR="00432561" w:rsidRPr="00C34554" w:rsidRDefault="00432561" w:rsidP="00C34554">
      <w:pPr>
        <w:pStyle w:val="FootnoteText"/>
        <w:jc w:val="both"/>
        <w:rPr>
          <w:rFonts w:ascii="SkolaSans" w:hAnsi="SkolaSans"/>
          <w:sz w:val="18"/>
          <w:szCs w:val="18"/>
        </w:rPr>
      </w:pPr>
      <w:r w:rsidRPr="00C34554">
        <w:rPr>
          <w:rStyle w:val="FootnoteReference"/>
          <w:rFonts w:ascii="SkolaSans" w:hAnsi="SkolaSans"/>
          <w:sz w:val="18"/>
          <w:szCs w:val="18"/>
        </w:rPr>
        <w:footnoteRef/>
      </w:r>
      <w:r w:rsidRPr="00C34554">
        <w:rPr>
          <w:rFonts w:ascii="SkolaSans" w:hAnsi="SkolaSans"/>
          <w:sz w:val="18"/>
          <w:szCs w:val="18"/>
        </w:rPr>
        <w:t xml:space="preserve"> </w:t>
      </w:r>
      <w:r w:rsidRPr="00C34554">
        <w:rPr>
          <w:rFonts w:ascii="SkolaSans" w:hAnsi="SkolaSans"/>
          <w:sz w:val="18"/>
          <w:szCs w:val="18"/>
          <w:lang w:val="mk-MK"/>
        </w:rPr>
        <w:t>Пазари на стоки се тесно поврзани соседни пазари ако стоките се надополнуваат едни со други или ако им припаѓаат на спектар на стоки кои вообичаено се купуваат од истата категорија потрошувачи со иста крајна цел на користење.</w:t>
      </w:r>
    </w:p>
  </w:footnote>
  <w:footnote w:id="17">
    <w:p w:rsidR="00432561" w:rsidRPr="00C34554" w:rsidRDefault="00432561" w:rsidP="00C34554">
      <w:pPr>
        <w:pStyle w:val="FootnoteText"/>
        <w:jc w:val="both"/>
        <w:rPr>
          <w:rFonts w:ascii="SkolaSans" w:hAnsi="SkolaSans"/>
          <w:sz w:val="18"/>
          <w:szCs w:val="18"/>
          <w:lang w:val="mk-MK"/>
        </w:rPr>
      </w:pPr>
      <w:r w:rsidRPr="00C34554">
        <w:rPr>
          <w:rStyle w:val="FootnoteReference"/>
          <w:rFonts w:ascii="SkolaSans" w:hAnsi="SkolaSans"/>
          <w:sz w:val="18"/>
          <w:szCs w:val="18"/>
        </w:rPr>
        <w:footnoteRef/>
      </w:r>
      <w:r w:rsidRPr="00C34554">
        <w:rPr>
          <w:rFonts w:ascii="SkolaSans" w:hAnsi="SkolaSans"/>
          <w:sz w:val="18"/>
          <w:szCs w:val="18"/>
        </w:rPr>
        <w:t xml:space="preserve"> </w:t>
      </w:r>
      <w:r w:rsidRPr="00C34554">
        <w:rPr>
          <w:rFonts w:ascii="SkolaSans" w:hAnsi="SkolaSans"/>
          <w:sz w:val="18"/>
          <w:szCs w:val="18"/>
          <w:lang w:val="mk-MK"/>
        </w:rPr>
        <w:t>Погледнете ги Насоките за оценка на вертикални и конгломерантни концентрации</w:t>
      </w:r>
    </w:p>
  </w:footnote>
  <w:footnote w:id="18">
    <w:p w:rsidR="00432561" w:rsidRPr="00C34554" w:rsidRDefault="00432561" w:rsidP="00C34554">
      <w:pPr>
        <w:pStyle w:val="FootnoteText"/>
        <w:jc w:val="both"/>
        <w:rPr>
          <w:rFonts w:ascii="SkolaSans" w:hAnsi="SkolaSans"/>
          <w:sz w:val="18"/>
          <w:szCs w:val="18"/>
          <w:lang w:val="mk-MK"/>
        </w:rPr>
      </w:pPr>
      <w:r w:rsidRPr="00C34554">
        <w:rPr>
          <w:rStyle w:val="FootnoteReference"/>
          <w:rFonts w:ascii="SkolaSans" w:hAnsi="SkolaSans"/>
          <w:sz w:val="18"/>
          <w:szCs w:val="18"/>
        </w:rPr>
        <w:footnoteRef/>
      </w:r>
      <w:r w:rsidRPr="00C34554">
        <w:rPr>
          <w:rFonts w:ascii="SkolaSans" w:hAnsi="SkolaSans"/>
          <w:sz w:val="18"/>
          <w:szCs w:val="18"/>
        </w:rPr>
        <w:t xml:space="preserve"> </w:t>
      </w:r>
      <w:r w:rsidRPr="00C34554">
        <w:rPr>
          <w:rFonts w:ascii="SkolaSans" w:hAnsi="SkolaSans"/>
          <w:sz w:val="18"/>
          <w:szCs w:val="18"/>
          <w:lang w:val="mk-MK"/>
        </w:rPr>
        <w:t xml:space="preserve">За дефиниција на пазари на кои концентрацијата може да има влијание видете ја дефиницијата дадена востав (9)  точка 10 од </w:t>
      </w:r>
      <w:r w:rsidRPr="00C34554">
        <w:rPr>
          <w:rFonts w:ascii="SkolaSans" w:hAnsi="SkolaSans"/>
          <w:bCs/>
          <w:sz w:val="18"/>
          <w:szCs w:val="18"/>
          <w:lang w:val="mk-MK"/>
        </w:rPr>
        <w:t xml:space="preserve">Насоки за начинот на поднесување и пополнување на известување за концентрација </w:t>
      </w:r>
      <w:r w:rsidRPr="00C34554">
        <w:rPr>
          <w:rFonts w:ascii="SkolaSans" w:hAnsi="SkolaSans"/>
          <w:sz w:val="18"/>
          <w:szCs w:val="18"/>
          <w:vertAlign w:val="superscript"/>
          <w:lang w:val="mk-MK"/>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87047CC"/>
    <w:lvl w:ilvl="0">
      <w:numFmt w:val="bullet"/>
      <w:lvlText w:val="*"/>
      <w:lvlJc w:val="left"/>
    </w:lvl>
  </w:abstractNum>
  <w:abstractNum w:abstractNumId="1">
    <w:nsid w:val="037140EA"/>
    <w:multiLevelType w:val="hybridMultilevel"/>
    <w:tmpl w:val="1FC2CE58"/>
    <w:lvl w:ilvl="0" w:tplc="3050C048">
      <w:start w:val="8"/>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15228DA"/>
    <w:multiLevelType w:val="hybridMultilevel"/>
    <w:tmpl w:val="3F1A487E"/>
    <w:lvl w:ilvl="0" w:tplc="4F82B74A">
      <w:start w:val="11"/>
      <w:numFmt w:val="decimal"/>
      <w:lvlText w:val="%1."/>
      <w:lvlJc w:val="left"/>
      <w:pPr>
        <w:ind w:left="81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1C855939"/>
    <w:multiLevelType w:val="hybridMultilevel"/>
    <w:tmpl w:val="51907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F21993"/>
    <w:multiLevelType w:val="hybridMultilevel"/>
    <w:tmpl w:val="F9026886"/>
    <w:lvl w:ilvl="0" w:tplc="E132B548">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9E1548"/>
    <w:multiLevelType w:val="hybridMultilevel"/>
    <w:tmpl w:val="33B2AB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4C7A9B"/>
    <w:multiLevelType w:val="hybridMultilevel"/>
    <w:tmpl w:val="DF962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89581F"/>
    <w:multiLevelType w:val="hybridMultilevel"/>
    <w:tmpl w:val="31284F1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040C86"/>
    <w:multiLevelType w:val="hybridMultilevel"/>
    <w:tmpl w:val="26B8A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2933D9"/>
    <w:multiLevelType w:val="hybridMultilevel"/>
    <w:tmpl w:val="C5E8C8F8"/>
    <w:lvl w:ilvl="0" w:tplc="38880B74">
      <w:start w:val="17"/>
      <w:numFmt w:val="decimal"/>
      <w:lvlText w:val="%1."/>
      <w:lvlJc w:val="left"/>
      <w:pPr>
        <w:ind w:left="782" w:hanging="360"/>
      </w:pPr>
      <w:rPr>
        <w:rFonts w:hint="default"/>
      </w:rPr>
    </w:lvl>
    <w:lvl w:ilvl="1" w:tplc="04090019" w:tentative="1">
      <w:start w:val="1"/>
      <w:numFmt w:val="lowerLetter"/>
      <w:lvlText w:val="%2."/>
      <w:lvlJc w:val="left"/>
      <w:pPr>
        <w:ind w:left="1502" w:hanging="360"/>
      </w:pPr>
    </w:lvl>
    <w:lvl w:ilvl="2" w:tplc="0409001B" w:tentative="1">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10">
    <w:nsid w:val="2CC25004"/>
    <w:multiLevelType w:val="hybridMultilevel"/>
    <w:tmpl w:val="E47AA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751937"/>
    <w:multiLevelType w:val="hybridMultilevel"/>
    <w:tmpl w:val="8F983E74"/>
    <w:lvl w:ilvl="0" w:tplc="427844E6">
      <w:start w:val="20"/>
      <w:numFmt w:val="decimal"/>
      <w:lvlText w:val="%1."/>
      <w:lvlJc w:val="left"/>
      <w:pPr>
        <w:ind w:left="734" w:hanging="450"/>
      </w:pPr>
      <w:rPr>
        <w:rFont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36B32BD0"/>
    <w:multiLevelType w:val="multilevel"/>
    <w:tmpl w:val="FF9A6E98"/>
    <w:lvl w:ilvl="0">
      <w:start w:val="1"/>
      <w:numFmt w:val="decimal"/>
      <w:lvlText w:val="%1."/>
      <w:legacy w:legacy="1" w:legacySpace="0" w:legacyIndent="240"/>
      <w:lvlJc w:val="left"/>
      <w:rPr>
        <w:rFonts w:ascii="Times New Roman" w:hAnsi="Times New Roman" w:cs="Times New Roman"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13">
    <w:nsid w:val="4C12178B"/>
    <w:multiLevelType w:val="hybridMultilevel"/>
    <w:tmpl w:val="FED62244"/>
    <w:lvl w:ilvl="0" w:tplc="6980B6C4">
      <w:start w:val="16"/>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nsid w:val="4DA9231F"/>
    <w:multiLevelType w:val="hybridMultilevel"/>
    <w:tmpl w:val="2DE8AB84"/>
    <w:lvl w:ilvl="0" w:tplc="0409000F">
      <w:start w:val="10"/>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626D45"/>
    <w:multiLevelType w:val="hybridMultilevel"/>
    <w:tmpl w:val="5E80D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C9367A"/>
    <w:multiLevelType w:val="hybridMultilevel"/>
    <w:tmpl w:val="25A8E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A81A34"/>
    <w:multiLevelType w:val="hybridMultilevel"/>
    <w:tmpl w:val="94A89B82"/>
    <w:lvl w:ilvl="0" w:tplc="0409000F">
      <w:start w:val="9"/>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117B5C"/>
    <w:multiLevelType w:val="hybridMultilevel"/>
    <w:tmpl w:val="CC7C65C4"/>
    <w:lvl w:ilvl="0" w:tplc="A0EAC770">
      <w:start w:val="9"/>
      <w:numFmt w:val="decimal"/>
      <w:lvlText w:val="%1."/>
      <w:lvlJc w:val="left"/>
      <w:pPr>
        <w:ind w:left="900" w:hanging="360"/>
      </w:pPr>
      <w:rPr>
        <w:rFonts w:hint="default"/>
        <w:i/>
        <w:color w:val="0070C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nsid w:val="57CB4FF7"/>
    <w:multiLevelType w:val="singleLevel"/>
    <w:tmpl w:val="FC480558"/>
    <w:lvl w:ilvl="0">
      <w:start w:val="10"/>
      <w:numFmt w:val="decimal"/>
      <w:lvlText w:val="%1."/>
      <w:legacy w:legacy="1" w:legacySpace="0" w:legacyIndent="341"/>
      <w:lvlJc w:val="left"/>
      <w:rPr>
        <w:rFonts w:ascii="Times New Roman" w:hAnsi="Times New Roman" w:cs="Times New Roman" w:hint="default"/>
      </w:rPr>
    </w:lvl>
  </w:abstractNum>
  <w:abstractNum w:abstractNumId="20">
    <w:nsid w:val="60C94227"/>
    <w:multiLevelType w:val="hybridMultilevel"/>
    <w:tmpl w:val="4A02AB06"/>
    <w:lvl w:ilvl="0" w:tplc="E132B548">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CC4C7F"/>
    <w:multiLevelType w:val="hybridMultilevel"/>
    <w:tmpl w:val="D6FC1FEC"/>
    <w:lvl w:ilvl="0" w:tplc="36DAB4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6002D8"/>
    <w:multiLevelType w:val="singleLevel"/>
    <w:tmpl w:val="70588236"/>
    <w:lvl w:ilvl="0">
      <w:start w:val="7"/>
      <w:numFmt w:val="decimal"/>
      <w:lvlText w:val="%1."/>
      <w:legacy w:legacy="1" w:legacySpace="0" w:legacyIndent="240"/>
      <w:lvlJc w:val="left"/>
      <w:rPr>
        <w:rFonts w:ascii="Times New Roman" w:hAnsi="Times New Roman" w:cs="Times New Roman" w:hint="default"/>
      </w:rPr>
    </w:lvl>
  </w:abstractNum>
  <w:abstractNum w:abstractNumId="23">
    <w:nsid w:val="762D6EF3"/>
    <w:multiLevelType w:val="hybridMultilevel"/>
    <w:tmpl w:val="6422C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1962C1"/>
    <w:multiLevelType w:val="singleLevel"/>
    <w:tmpl w:val="A418DB5C"/>
    <w:lvl w:ilvl="0">
      <w:start w:val="2"/>
      <w:numFmt w:val="lowerLetter"/>
      <w:lvlText w:val="(%1)"/>
      <w:legacy w:legacy="1" w:legacySpace="0" w:legacyIndent="288"/>
      <w:lvlJc w:val="left"/>
      <w:rPr>
        <w:rFonts w:ascii="Times New Roman" w:hAnsi="Times New Roman" w:cs="Times New Roman" w:hint="default"/>
      </w:rPr>
    </w:lvl>
  </w:abstractNum>
  <w:abstractNum w:abstractNumId="25">
    <w:nsid w:val="7D795B0C"/>
    <w:multiLevelType w:val="hybridMultilevel"/>
    <w:tmpl w:val="474A6446"/>
    <w:lvl w:ilvl="0" w:tplc="16C8587E">
      <w:start w:val="15"/>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7D910966"/>
    <w:multiLevelType w:val="hybridMultilevel"/>
    <w:tmpl w:val="7D20D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lvlOverride w:ilvl="0">
      <w:lvl w:ilvl="0">
        <w:numFmt w:val="bullet"/>
        <w:lvlText w:val="—"/>
        <w:legacy w:legacy="1" w:legacySpace="0" w:legacyIndent="250"/>
        <w:lvlJc w:val="left"/>
        <w:rPr>
          <w:rFonts w:ascii="Times New Roman" w:hAnsi="Times New Roman" w:cs="Times New Roman" w:hint="default"/>
        </w:rPr>
      </w:lvl>
    </w:lvlOverride>
  </w:num>
  <w:num w:numId="3">
    <w:abstractNumId w:val="24"/>
  </w:num>
  <w:num w:numId="4">
    <w:abstractNumId w:val="22"/>
  </w:num>
  <w:num w:numId="5">
    <w:abstractNumId w:val="19"/>
  </w:num>
  <w:num w:numId="6">
    <w:abstractNumId w:val="17"/>
  </w:num>
  <w:num w:numId="7">
    <w:abstractNumId w:val="14"/>
  </w:num>
  <w:num w:numId="8">
    <w:abstractNumId w:val="23"/>
  </w:num>
  <w:num w:numId="9">
    <w:abstractNumId w:val="3"/>
  </w:num>
  <w:num w:numId="10">
    <w:abstractNumId w:val="6"/>
  </w:num>
  <w:num w:numId="11">
    <w:abstractNumId w:val="5"/>
  </w:num>
  <w:num w:numId="12">
    <w:abstractNumId w:val="4"/>
  </w:num>
  <w:num w:numId="13">
    <w:abstractNumId w:val="20"/>
  </w:num>
  <w:num w:numId="14">
    <w:abstractNumId w:val="26"/>
  </w:num>
  <w:num w:numId="15">
    <w:abstractNumId w:val="1"/>
  </w:num>
  <w:num w:numId="16">
    <w:abstractNumId w:val="21"/>
  </w:num>
  <w:num w:numId="17">
    <w:abstractNumId w:val="2"/>
  </w:num>
  <w:num w:numId="18">
    <w:abstractNumId w:val="25"/>
  </w:num>
  <w:num w:numId="19">
    <w:abstractNumId w:val="13"/>
  </w:num>
  <w:num w:numId="20">
    <w:abstractNumId w:val="9"/>
  </w:num>
  <w:num w:numId="21">
    <w:abstractNumId w:val="11"/>
  </w:num>
  <w:num w:numId="22">
    <w:abstractNumId w:val="18"/>
  </w:num>
  <w:num w:numId="23">
    <w:abstractNumId w:val="10"/>
  </w:num>
  <w:num w:numId="24">
    <w:abstractNumId w:val="8"/>
  </w:num>
  <w:num w:numId="25">
    <w:abstractNumId w:val="15"/>
  </w:num>
  <w:num w:numId="26">
    <w:abstractNumId w:val="16"/>
  </w:num>
  <w:num w:numId="2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61442"/>
  </w:hdrShapeDefaults>
  <w:footnotePr>
    <w:footnote w:id="0"/>
    <w:footnote w:id="1"/>
  </w:footnotePr>
  <w:endnotePr>
    <w:endnote w:id="0"/>
    <w:endnote w:id="1"/>
  </w:endnotePr>
  <w:compat/>
  <w:rsids>
    <w:rsidRoot w:val="00097431"/>
    <w:rsid w:val="00007D07"/>
    <w:rsid w:val="00013B27"/>
    <w:rsid w:val="000216F0"/>
    <w:rsid w:val="00023B84"/>
    <w:rsid w:val="00026BA6"/>
    <w:rsid w:val="00030511"/>
    <w:rsid w:val="0004140F"/>
    <w:rsid w:val="00046EE2"/>
    <w:rsid w:val="00056D50"/>
    <w:rsid w:val="00060459"/>
    <w:rsid w:val="00061637"/>
    <w:rsid w:val="00071488"/>
    <w:rsid w:val="000749A6"/>
    <w:rsid w:val="00085E10"/>
    <w:rsid w:val="00094CEB"/>
    <w:rsid w:val="00096004"/>
    <w:rsid w:val="000968EE"/>
    <w:rsid w:val="00097431"/>
    <w:rsid w:val="000A040C"/>
    <w:rsid w:val="000A57D1"/>
    <w:rsid w:val="000B2AF8"/>
    <w:rsid w:val="000B4A54"/>
    <w:rsid w:val="000C4F3F"/>
    <w:rsid w:val="000D166C"/>
    <w:rsid w:val="000D2B85"/>
    <w:rsid w:val="000D4B35"/>
    <w:rsid w:val="000F4F76"/>
    <w:rsid w:val="000F68B9"/>
    <w:rsid w:val="000F7988"/>
    <w:rsid w:val="00100EDA"/>
    <w:rsid w:val="00114FAC"/>
    <w:rsid w:val="001200CA"/>
    <w:rsid w:val="00120D22"/>
    <w:rsid w:val="00124D60"/>
    <w:rsid w:val="001268EC"/>
    <w:rsid w:val="001341E7"/>
    <w:rsid w:val="00136EEB"/>
    <w:rsid w:val="00137F89"/>
    <w:rsid w:val="00141E53"/>
    <w:rsid w:val="00144DA2"/>
    <w:rsid w:val="00164F11"/>
    <w:rsid w:val="00170E8F"/>
    <w:rsid w:val="00187242"/>
    <w:rsid w:val="001A2C4F"/>
    <w:rsid w:val="001A4166"/>
    <w:rsid w:val="001B673F"/>
    <w:rsid w:val="001C6638"/>
    <w:rsid w:val="001E7EA1"/>
    <w:rsid w:val="00204305"/>
    <w:rsid w:val="00223050"/>
    <w:rsid w:val="00223051"/>
    <w:rsid w:val="0022633C"/>
    <w:rsid w:val="0023700F"/>
    <w:rsid w:val="00237940"/>
    <w:rsid w:val="00242D8E"/>
    <w:rsid w:val="00250B62"/>
    <w:rsid w:val="00250D69"/>
    <w:rsid w:val="002519F5"/>
    <w:rsid w:val="00253E82"/>
    <w:rsid w:val="002613AE"/>
    <w:rsid w:val="0026380A"/>
    <w:rsid w:val="002774FC"/>
    <w:rsid w:val="0029787B"/>
    <w:rsid w:val="002A0D83"/>
    <w:rsid w:val="002A51A2"/>
    <w:rsid w:val="002C1ACE"/>
    <w:rsid w:val="002D6600"/>
    <w:rsid w:val="002E25F1"/>
    <w:rsid w:val="002E3CD3"/>
    <w:rsid w:val="002F1B60"/>
    <w:rsid w:val="00305612"/>
    <w:rsid w:val="0031210C"/>
    <w:rsid w:val="00312893"/>
    <w:rsid w:val="0031575A"/>
    <w:rsid w:val="00316130"/>
    <w:rsid w:val="00316868"/>
    <w:rsid w:val="00317F44"/>
    <w:rsid w:val="00323E7A"/>
    <w:rsid w:val="00331A7A"/>
    <w:rsid w:val="0033382D"/>
    <w:rsid w:val="00333AF3"/>
    <w:rsid w:val="0036578F"/>
    <w:rsid w:val="00373C38"/>
    <w:rsid w:val="00374A15"/>
    <w:rsid w:val="00381FDB"/>
    <w:rsid w:val="003821C5"/>
    <w:rsid w:val="003822F5"/>
    <w:rsid w:val="0038553C"/>
    <w:rsid w:val="003925C5"/>
    <w:rsid w:val="003941DF"/>
    <w:rsid w:val="003A0C68"/>
    <w:rsid w:val="003A480B"/>
    <w:rsid w:val="003A6AC9"/>
    <w:rsid w:val="003C0355"/>
    <w:rsid w:val="003C0791"/>
    <w:rsid w:val="003C252C"/>
    <w:rsid w:val="003C2C3D"/>
    <w:rsid w:val="003E43C2"/>
    <w:rsid w:val="0040074A"/>
    <w:rsid w:val="004054D3"/>
    <w:rsid w:val="00416F42"/>
    <w:rsid w:val="0042745C"/>
    <w:rsid w:val="00431F64"/>
    <w:rsid w:val="00432561"/>
    <w:rsid w:val="0043573B"/>
    <w:rsid w:val="00436269"/>
    <w:rsid w:val="00441C9C"/>
    <w:rsid w:val="004500F7"/>
    <w:rsid w:val="00451018"/>
    <w:rsid w:val="00471838"/>
    <w:rsid w:val="00473171"/>
    <w:rsid w:val="004777F6"/>
    <w:rsid w:val="004908F5"/>
    <w:rsid w:val="004945D6"/>
    <w:rsid w:val="004B7E67"/>
    <w:rsid w:val="004C1667"/>
    <w:rsid w:val="004E53C0"/>
    <w:rsid w:val="0050580F"/>
    <w:rsid w:val="005064F3"/>
    <w:rsid w:val="00533819"/>
    <w:rsid w:val="00536FA7"/>
    <w:rsid w:val="00546E6F"/>
    <w:rsid w:val="005508AA"/>
    <w:rsid w:val="00561BDF"/>
    <w:rsid w:val="00571C81"/>
    <w:rsid w:val="005724FE"/>
    <w:rsid w:val="0057793F"/>
    <w:rsid w:val="00592B68"/>
    <w:rsid w:val="00597167"/>
    <w:rsid w:val="0059781C"/>
    <w:rsid w:val="005A6E17"/>
    <w:rsid w:val="005C0215"/>
    <w:rsid w:val="005D2110"/>
    <w:rsid w:val="005D3BD3"/>
    <w:rsid w:val="005D5284"/>
    <w:rsid w:val="005E6053"/>
    <w:rsid w:val="005F207F"/>
    <w:rsid w:val="006038B2"/>
    <w:rsid w:val="00603FE5"/>
    <w:rsid w:val="0061111D"/>
    <w:rsid w:val="0061484F"/>
    <w:rsid w:val="00616DF4"/>
    <w:rsid w:val="00631EC9"/>
    <w:rsid w:val="00632F07"/>
    <w:rsid w:val="00641E1B"/>
    <w:rsid w:val="006427D2"/>
    <w:rsid w:val="0064287A"/>
    <w:rsid w:val="006448BF"/>
    <w:rsid w:val="00664BF6"/>
    <w:rsid w:val="006761FE"/>
    <w:rsid w:val="00687887"/>
    <w:rsid w:val="006913E4"/>
    <w:rsid w:val="00692A8C"/>
    <w:rsid w:val="006B0444"/>
    <w:rsid w:val="006B55F9"/>
    <w:rsid w:val="006C28C7"/>
    <w:rsid w:val="006C29E1"/>
    <w:rsid w:val="006C37AF"/>
    <w:rsid w:val="006C5245"/>
    <w:rsid w:val="006D308E"/>
    <w:rsid w:val="006E7046"/>
    <w:rsid w:val="006E7986"/>
    <w:rsid w:val="006F1A55"/>
    <w:rsid w:val="006F232B"/>
    <w:rsid w:val="006F3E56"/>
    <w:rsid w:val="006F5251"/>
    <w:rsid w:val="006F7CBF"/>
    <w:rsid w:val="00705911"/>
    <w:rsid w:val="00714134"/>
    <w:rsid w:val="00714DFA"/>
    <w:rsid w:val="0072317C"/>
    <w:rsid w:val="00724557"/>
    <w:rsid w:val="00727C36"/>
    <w:rsid w:val="00730DA3"/>
    <w:rsid w:val="00734C97"/>
    <w:rsid w:val="007413F0"/>
    <w:rsid w:val="007437F4"/>
    <w:rsid w:val="0074773E"/>
    <w:rsid w:val="00752C8A"/>
    <w:rsid w:val="00771243"/>
    <w:rsid w:val="00776982"/>
    <w:rsid w:val="00787FF8"/>
    <w:rsid w:val="007A5911"/>
    <w:rsid w:val="007B0B5A"/>
    <w:rsid w:val="007B1143"/>
    <w:rsid w:val="007B7B00"/>
    <w:rsid w:val="007D0481"/>
    <w:rsid w:val="007D5237"/>
    <w:rsid w:val="007D5ABC"/>
    <w:rsid w:val="007E196A"/>
    <w:rsid w:val="007F256C"/>
    <w:rsid w:val="00800742"/>
    <w:rsid w:val="00806769"/>
    <w:rsid w:val="00811659"/>
    <w:rsid w:val="00811DE6"/>
    <w:rsid w:val="008137E8"/>
    <w:rsid w:val="008463BE"/>
    <w:rsid w:val="008514C9"/>
    <w:rsid w:val="008657FD"/>
    <w:rsid w:val="00867438"/>
    <w:rsid w:val="00872BE9"/>
    <w:rsid w:val="00872E47"/>
    <w:rsid w:val="00875C08"/>
    <w:rsid w:val="008839FC"/>
    <w:rsid w:val="008876F8"/>
    <w:rsid w:val="008A02B3"/>
    <w:rsid w:val="008A3C51"/>
    <w:rsid w:val="008B0D39"/>
    <w:rsid w:val="008C02C6"/>
    <w:rsid w:val="008C1802"/>
    <w:rsid w:val="008C5604"/>
    <w:rsid w:val="008C69B9"/>
    <w:rsid w:val="008C7CCB"/>
    <w:rsid w:val="008D5BCF"/>
    <w:rsid w:val="008D7952"/>
    <w:rsid w:val="008E0453"/>
    <w:rsid w:val="008E3E9C"/>
    <w:rsid w:val="008E6E5F"/>
    <w:rsid w:val="00906877"/>
    <w:rsid w:val="0091545C"/>
    <w:rsid w:val="00915DDE"/>
    <w:rsid w:val="00924CED"/>
    <w:rsid w:val="009358E4"/>
    <w:rsid w:val="00935960"/>
    <w:rsid w:val="00936BC5"/>
    <w:rsid w:val="00937B2D"/>
    <w:rsid w:val="00940620"/>
    <w:rsid w:val="00940E50"/>
    <w:rsid w:val="0094155B"/>
    <w:rsid w:val="00950C1E"/>
    <w:rsid w:val="00962B8C"/>
    <w:rsid w:val="00964C2C"/>
    <w:rsid w:val="00974B0F"/>
    <w:rsid w:val="0098661A"/>
    <w:rsid w:val="009872FD"/>
    <w:rsid w:val="009935B1"/>
    <w:rsid w:val="009A0FD9"/>
    <w:rsid w:val="009A21B6"/>
    <w:rsid w:val="009B0427"/>
    <w:rsid w:val="009B3463"/>
    <w:rsid w:val="009E2F64"/>
    <w:rsid w:val="009F1B10"/>
    <w:rsid w:val="00A0794E"/>
    <w:rsid w:val="00A12CEF"/>
    <w:rsid w:val="00A30BB3"/>
    <w:rsid w:val="00A32AAB"/>
    <w:rsid w:val="00A3404E"/>
    <w:rsid w:val="00A34D5C"/>
    <w:rsid w:val="00A37EFE"/>
    <w:rsid w:val="00A55ACF"/>
    <w:rsid w:val="00A60A06"/>
    <w:rsid w:val="00A62574"/>
    <w:rsid w:val="00A64622"/>
    <w:rsid w:val="00A72019"/>
    <w:rsid w:val="00A76ED6"/>
    <w:rsid w:val="00A80503"/>
    <w:rsid w:val="00A81189"/>
    <w:rsid w:val="00A8653A"/>
    <w:rsid w:val="00A943ED"/>
    <w:rsid w:val="00AA0FBC"/>
    <w:rsid w:val="00AA442F"/>
    <w:rsid w:val="00AA5D3C"/>
    <w:rsid w:val="00AA7D46"/>
    <w:rsid w:val="00AC2092"/>
    <w:rsid w:val="00AC569F"/>
    <w:rsid w:val="00AC5C14"/>
    <w:rsid w:val="00AC767D"/>
    <w:rsid w:val="00B00756"/>
    <w:rsid w:val="00B00DB1"/>
    <w:rsid w:val="00B0381D"/>
    <w:rsid w:val="00B32492"/>
    <w:rsid w:val="00B42E60"/>
    <w:rsid w:val="00B45B02"/>
    <w:rsid w:val="00B50DC2"/>
    <w:rsid w:val="00B525DF"/>
    <w:rsid w:val="00B54B68"/>
    <w:rsid w:val="00B5619D"/>
    <w:rsid w:val="00B565B7"/>
    <w:rsid w:val="00B63660"/>
    <w:rsid w:val="00B65237"/>
    <w:rsid w:val="00B668E2"/>
    <w:rsid w:val="00B676E7"/>
    <w:rsid w:val="00B90709"/>
    <w:rsid w:val="00B91763"/>
    <w:rsid w:val="00B92AA0"/>
    <w:rsid w:val="00B95DB8"/>
    <w:rsid w:val="00BA648E"/>
    <w:rsid w:val="00BC0A4C"/>
    <w:rsid w:val="00BC75D1"/>
    <w:rsid w:val="00BF12F5"/>
    <w:rsid w:val="00BF5639"/>
    <w:rsid w:val="00C0172A"/>
    <w:rsid w:val="00C02F7E"/>
    <w:rsid w:val="00C113AD"/>
    <w:rsid w:val="00C1646E"/>
    <w:rsid w:val="00C340FA"/>
    <w:rsid w:val="00C34554"/>
    <w:rsid w:val="00C34681"/>
    <w:rsid w:val="00C47E01"/>
    <w:rsid w:val="00C5060E"/>
    <w:rsid w:val="00C72B71"/>
    <w:rsid w:val="00C75B62"/>
    <w:rsid w:val="00C767CD"/>
    <w:rsid w:val="00C8712F"/>
    <w:rsid w:val="00C904CB"/>
    <w:rsid w:val="00C94CAF"/>
    <w:rsid w:val="00C9724C"/>
    <w:rsid w:val="00CA0C9C"/>
    <w:rsid w:val="00CB0F3E"/>
    <w:rsid w:val="00CB2725"/>
    <w:rsid w:val="00CB7E21"/>
    <w:rsid w:val="00CC53CF"/>
    <w:rsid w:val="00CD7E57"/>
    <w:rsid w:val="00CF3C23"/>
    <w:rsid w:val="00CF480E"/>
    <w:rsid w:val="00D00D5A"/>
    <w:rsid w:val="00D04613"/>
    <w:rsid w:val="00D05AD6"/>
    <w:rsid w:val="00D06EBB"/>
    <w:rsid w:val="00D07A3D"/>
    <w:rsid w:val="00D10058"/>
    <w:rsid w:val="00D11E2A"/>
    <w:rsid w:val="00D20D90"/>
    <w:rsid w:val="00D24C5C"/>
    <w:rsid w:val="00D431DE"/>
    <w:rsid w:val="00D45752"/>
    <w:rsid w:val="00D46C3C"/>
    <w:rsid w:val="00D50B5E"/>
    <w:rsid w:val="00D51BC1"/>
    <w:rsid w:val="00D70004"/>
    <w:rsid w:val="00D7561F"/>
    <w:rsid w:val="00D9184C"/>
    <w:rsid w:val="00D92370"/>
    <w:rsid w:val="00D93F1D"/>
    <w:rsid w:val="00DA71F5"/>
    <w:rsid w:val="00DB3A71"/>
    <w:rsid w:val="00DB5311"/>
    <w:rsid w:val="00DF3599"/>
    <w:rsid w:val="00DF57C3"/>
    <w:rsid w:val="00E050D0"/>
    <w:rsid w:val="00E15CD4"/>
    <w:rsid w:val="00E32A87"/>
    <w:rsid w:val="00E35C56"/>
    <w:rsid w:val="00E36A27"/>
    <w:rsid w:val="00E50008"/>
    <w:rsid w:val="00E527C0"/>
    <w:rsid w:val="00E5459E"/>
    <w:rsid w:val="00E63FB9"/>
    <w:rsid w:val="00E67F45"/>
    <w:rsid w:val="00E81F86"/>
    <w:rsid w:val="00E822DA"/>
    <w:rsid w:val="00E8332E"/>
    <w:rsid w:val="00E93C14"/>
    <w:rsid w:val="00EA54A8"/>
    <w:rsid w:val="00EA64B7"/>
    <w:rsid w:val="00EB7A32"/>
    <w:rsid w:val="00EC771D"/>
    <w:rsid w:val="00ED229A"/>
    <w:rsid w:val="00ED34BD"/>
    <w:rsid w:val="00ED79B3"/>
    <w:rsid w:val="00EF204F"/>
    <w:rsid w:val="00EF7DE3"/>
    <w:rsid w:val="00F10D94"/>
    <w:rsid w:val="00F206B0"/>
    <w:rsid w:val="00F30C14"/>
    <w:rsid w:val="00F53BB1"/>
    <w:rsid w:val="00F53FE9"/>
    <w:rsid w:val="00F54682"/>
    <w:rsid w:val="00F55E07"/>
    <w:rsid w:val="00F77310"/>
    <w:rsid w:val="00F777B0"/>
    <w:rsid w:val="00F858FE"/>
    <w:rsid w:val="00F86E34"/>
    <w:rsid w:val="00F94E45"/>
    <w:rsid w:val="00FA39D8"/>
    <w:rsid w:val="00FA4F9D"/>
    <w:rsid w:val="00FB0744"/>
    <w:rsid w:val="00FB2658"/>
    <w:rsid w:val="00FC4D69"/>
    <w:rsid w:val="00FC7D26"/>
    <w:rsid w:val="00FD4968"/>
    <w:rsid w:val="00FD7D6D"/>
    <w:rsid w:val="00FE51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1BC1"/>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250B62"/>
  </w:style>
  <w:style w:type="character" w:styleId="FootnoteReference">
    <w:name w:val="footnote reference"/>
    <w:basedOn w:val="DefaultParagraphFont"/>
    <w:semiHidden/>
    <w:rsid w:val="00250B62"/>
    <w:rPr>
      <w:vertAlign w:val="superscript"/>
    </w:rPr>
  </w:style>
  <w:style w:type="paragraph" w:customStyle="1" w:styleId="CharChar1Char">
    <w:name w:val="Char Char1 Char"/>
    <w:basedOn w:val="Normal"/>
    <w:rsid w:val="00EF7DE3"/>
    <w:pPr>
      <w:widowControl/>
      <w:autoSpaceDE/>
      <w:autoSpaceDN/>
      <w:adjustRightInd/>
      <w:spacing w:after="160" w:line="240" w:lineRule="exact"/>
    </w:pPr>
    <w:rPr>
      <w:rFonts w:ascii="Tahoma" w:hAnsi="Tahoma"/>
    </w:rPr>
  </w:style>
  <w:style w:type="paragraph" w:styleId="Header">
    <w:name w:val="header"/>
    <w:basedOn w:val="Normal"/>
    <w:link w:val="HeaderChar"/>
    <w:uiPriority w:val="99"/>
    <w:rsid w:val="00D7561F"/>
    <w:pPr>
      <w:tabs>
        <w:tab w:val="center" w:pos="4320"/>
        <w:tab w:val="right" w:pos="8640"/>
      </w:tabs>
    </w:pPr>
  </w:style>
  <w:style w:type="paragraph" w:styleId="Footer">
    <w:name w:val="footer"/>
    <w:basedOn w:val="Normal"/>
    <w:link w:val="FooterChar"/>
    <w:uiPriority w:val="99"/>
    <w:rsid w:val="00D7561F"/>
    <w:pPr>
      <w:tabs>
        <w:tab w:val="center" w:pos="4320"/>
        <w:tab w:val="right" w:pos="8640"/>
      </w:tabs>
    </w:pPr>
  </w:style>
  <w:style w:type="paragraph" w:styleId="BodyTextIndent">
    <w:name w:val="Body Text Indent"/>
    <w:basedOn w:val="Normal"/>
    <w:rsid w:val="00EF7DE3"/>
    <w:pPr>
      <w:widowControl/>
      <w:autoSpaceDE/>
      <w:autoSpaceDN/>
      <w:adjustRightInd/>
      <w:spacing w:after="120"/>
      <w:ind w:left="283"/>
    </w:pPr>
    <w:rPr>
      <w:sz w:val="24"/>
      <w:szCs w:val="24"/>
      <w:lang w:val="en-GB"/>
    </w:rPr>
  </w:style>
  <w:style w:type="paragraph" w:styleId="BalloonText">
    <w:name w:val="Balloon Text"/>
    <w:basedOn w:val="Normal"/>
    <w:semiHidden/>
    <w:rsid w:val="001E7EA1"/>
    <w:rPr>
      <w:rFonts w:ascii="Tahoma" w:hAnsi="Tahoma" w:cs="Tahoma"/>
      <w:sz w:val="16"/>
      <w:szCs w:val="16"/>
    </w:rPr>
  </w:style>
  <w:style w:type="character" w:customStyle="1" w:styleId="HeaderChar">
    <w:name w:val="Header Char"/>
    <w:basedOn w:val="DefaultParagraphFont"/>
    <w:link w:val="Header"/>
    <w:uiPriority w:val="99"/>
    <w:rsid w:val="0022633C"/>
  </w:style>
  <w:style w:type="paragraph" w:styleId="ListParagraph">
    <w:name w:val="List Paragraph"/>
    <w:basedOn w:val="Normal"/>
    <w:uiPriority w:val="34"/>
    <w:qFormat/>
    <w:rsid w:val="0091545C"/>
    <w:pPr>
      <w:ind w:left="720"/>
      <w:contextualSpacing/>
    </w:pPr>
  </w:style>
  <w:style w:type="character" w:customStyle="1" w:styleId="FooterChar">
    <w:name w:val="Footer Char"/>
    <w:basedOn w:val="DefaultParagraphFont"/>
    <w:link w:val="Footer"/>
    <w:uiPriority w:val="99"/>
    <w:rsid w:val="00C904CB"/>
  </w:style>
  <w:style w:type="character" w:styleId="CommentReference">
    <w:name w:val="annotation reference"/>
    <w:basedOn w:val="DefaultParagraphFont"/>
    <w:rsid w:val="00C0172A"/>
    <w:rPr>
      <w:sz w:val="16"/>
      <w:szCs w:val="16"/>
    </w:rPr>
  </w:style>
  <w:style w:type="paragraph" w:styleId="CommentText">
    <w:name w:val="annotation text"/>
    <w:basedOn w:val="Normal"/>
    <w:link w:val="CommentTextChar"/>
    <w:rsid w:val="00C0172A"/>
  </w:style>
  <w:style w:type="character" w:customStyle="1" w:styleId="CommentTextChar">
    <w:name w:val="Comment Text Char"/>
    <w:basedOn w:val="DefaultParagraphFont"/>
    <w:link w:val="CommentText"/>
    <w:rsid w:val="00C0172A"/>
  </w:style>
  <w:style w:type="paragraph" w:styleId="CommentSubject">
    <w:name w:val="annotation subject"/>
    <w:basedOn w:val="CommentText"/>
    <w:next w:val="CommentText"/>
    <w:link w:val="CommentSubjectChar"/>
    <w:rsid w:val="00C0172A"/>
    <w:rPr>
      <w:b/>
      <w:bCs/>
    </w:rPr>
  </w:style>
  <w:style w:type="character" w:customStyle="1" w:styleId="CommentSubjectChar">
    <w:name w:val="Comment Subject Char"/>
    <w:basedOn w:val="CommentTextChar"/>
    <w:link w:val="CommentSubject"/>
    <w:rsid w:val="00C0172A"/>
    <w:rPr>
      <w:b/>
      <w:bCs/>
    </w:rPr>
  </w:style>
</w:styles>
</file>

<file path=word/webSettings.xml><?xml version="1.0" encoding="utf-8"?>
<w:webSettings xmlns:r="http://schemas.openxmlformats.org/officeDocument/2006/relationships" xmlns:w="http://schemas.openxmlformats.org/wordprocessingml/2006/main">
  <w:divs>
    <w:div w:id="1643580666">
      <w:bodyDiv w:val="1"/>
      <w:marLeft w:val="0"/>
      <w:marRight w:val="0"/>
      <w:marTop w:val="0"/>
      <w:marBottom w:val="0"/>
      <w:divBdr>
        <w:top w:val="none" w:sz="0" w:space="0" w:color="auto"/>
        <w:left w:val="none" w:sz="0" w:space="0" w:color="auto"/>
        <w:bottom w:val="none" w:sz="0" w:space="0" w:color="auto"/>
        <w:right w:val="none" w:sz="0" w:space="0" w:color="auto"/>
      </w:divBdr>
      <w:divsChild>
        <w:div w:id="1084036950">
          <w:marLeft w:val="0"/>
          <w:marRight w:val="0"/>
          <w:marTop w:val="0"/>
          <w:marBottom w:val="0"/>
          <w:divBdr>
            <w:top w:val="none" w:sz="0" w:space="0" w:color="auto"/>
            <w:left w:val="none" w:sz="0" w:space="0" w:color="auto"/>
            <w:bottom w:val="none" w:sz="0" w:space="0" w:color="auto"/>
            <w:right w:val="none" w:sz="0" w:space="0" w:color="auto"/>
          </w:divBdr>
        </w:div>
        <w:div w:id="1348948941">
          <w:marLeft w:val="0"/>
          <w:marRight w:val="0"/>
          <w:marTop w:val="0"/>
          <w:marBottom w:val="0"/>
          <w:divBdr>
            <w:top w:val="none" w:sz="0" w:space="0" w:color="auto"/>
            <w:left w:val="none" w:sz="0" w:space="0" w:color="auto"/>
            <w:bottom w:val="none" w:sz="0" w:space="0" w:color="auto"/>
            <w:right w:val="none" w:sz="0" w:space="0" w:color="auto"/>
          </w:divBdr>
        </w:div>
        <w:div w:id="84307291">
          <w:marLeft w:val="0"/>
          <w:marRight w:val="0"/>
          <w:marTop w:val="0"/>
          <w:marBottom w:val="0"/>
          <w:divBdr>
            <w:top w:val="none" w:sz="0" w:space="0" w:color="auto"/>
            <w:left w:val="none" w:sz="0" w:space="0" w:color="auto"/>
            <w:bottom w:val="none" w:sz="0" w:space="0" w:color="auto"/>
            <w:right w:val="none" w:sz="0" w:space="0" w:color="auto"/>
          </w:divBdr>
        </w:div>
        <w:div w:id="1810242667">
          <w:marLeft w:val="0"/>
          <w:marRight w:val="0"/>
          <w:marTop w:val="0"/>
          <w:marBottom w:val="0"/>
          <w:divBdr>
            <w:top w:val="none" w:sz="0" w:space="0" w:color="auto"/>
            <w:left w:val="none" w:sz="0" w:space="0" w:color="auto"/>
            <w:bottom w:val="none" w:sz="0" w:space="0" w:color="auto"/>
            <w:right w:val="none" w:sz="0" w:space="0" w:color="auto"/>
          </w:divBdr>
        </w:div>
        <w:div w:id="899756482">
          <w:marLeft w:val="0"/>
          <w:marRight w:val="0"/>
          <w:marTop w:val="0"/>
          <w:marBottom w:val="0"/>
          <w:divBdr>
            <w:top w:val="none" w:sz="0" w:space="0" w:color="auto"/>
            <w:left w:val="none" w:sz="0" w:space="0" w:color="auto"/>
            <w:bottom w:val="none" w:sz="0" w:space="0" w:color="auto"/>
            <w:right w:val="none" w:sz="0" w:space="0" w:color="auto"/>
          </w:divBdr>
        </w:div>
        <w:div w:id="1986738694">
          <w:marLeft w:val="0"/>
          <w:marRight w:val="0"/>
          <w:marTop w:val="0"/>
          <w:marBottom w:val="0"/>
          <w:divBdr>
            <w:top w:val="none" w:sz="0" w:space="0" w:color="auto"/>
            <w:left w:val="none" w:sz="0" w:space="0" w:color="auto"/>
            <w:bottom w:val="none" w:sz="0" w:space="0" w:color="auto"/>
            <w:right w:val="none" w:sz="0" w:space="0" w:color="auto"/>
          </w:divBdr>
        </w:div>
        <w:div w:id="56100548">
          <w:marLeft w:val="0"/>
          <w:marRight w:val="0"/>
          <w:marTop w:val="0"/>
          <w:marBottom w:val="0"/>
          <w:divBdr>
            <w:top w:val="none" w:sz="0" w:space="0" w:color="auto"/>
            <w:left w:val="none" w:sz="0" w:space="0" w:color="auto"/>
            <w:bottom w:val="none" w:sz="0" w:space="0" w:color="auto"/>
            <w:right w:val="none" w:sz="0" w:space="0" w:color="auto"/>
          </w:divBdr>
        </w:div>
        <w:div w:id="84964285">
          <w:marLeft w:val="0"/>
          <w:marRight w:val="0"/>
          <w:marTop w:val="0"/>
          <w:marBottom w:val="0"/>
          <w:divBdr>
            <w:top w:val="none" w:sz="0" w:space="0" w:color="auto"/>
            <w:left w:val="none" w:sz="0" w:space="0" w:color="auto"/>
            <w:bottom w:val="none" w:sz="0" w:space="0" w:color="auto"/>
            <w:right w:val="none" w:sz="0" w:space="0" w:color="auto"/>
          </w:divBdr>
        </w:div>
        <w:div w:id="1418791078">
          <w:marLeft w:val="0"/>
          <w:marRight w:val="0"/>
          <w:marTop w:val="0"/>
          <w:marBottom w:val="0"/>
          <w:divBdr>
            <w:top w:val="none" w:sz="0" w:space="0" w:color="auto"/>
            <w:left w:val="none" w:sz="0" w:space="0" w:color="auto"/>
            <w:bottom w:val="none" w:sz="0" w:space="0" w:color="auto"/>
            <w:right w:val="none" w:sz="0" w:space="0" w:color="auto"/>
          </w:divBdr>
        </w:div>
        <w:div w:id="1673488551">
          <w:marLeft w:val="0"/>
          <w:marRight w:val="0"/>
          <w:marTop w:val="0"/>
          <w:marBottom w:val="0"/>
          <w:divBdr>
            <w:top w:val="none" w:sz="0" w:space="0" w:color="auto"/>
            <w:left w:val="none" w:sz="0" w:space="0" w:color="auto"/>
            <w:bottom w:val="none" w:sz="0" w:space="0" w:color="auto"/>
            <w:right w:val="none" w:sz="0" w:space="0" w:color="auto"/>
          </w:divBdr>
        </w:div>
        <w:div w:id="47151248">
          <w:marLeft w:val="0"/>
          <w:marRight w:val="0"/>
          <w:marTop w:val="0"/>
          <w:marBottom w:val="0"/>
          <w:divBdr>
            <w:top w:val="none" w:sz="0" w:space="0" w:color="auto"/>
            <w:left w:val="none" w:sz="0" w:space="0" w:color="auto"/>
            <w:bottom w:val="none" w:sz="0" w:space="0" w:color="auto"/>
            <w:right w:val="none" w:sz="0" w:space="0" w:color="auto"/>
          </w:divBdr>
        </w:div>
        <w:div w:id="1233389158">
          <w:marLeft w:val="0"/>
          <w:marRight w:val="0"/>
          <w:marTop w:val="0"/>
          <w:marBottom w:val="0"/>
          <w:divBdr>
            <w:top w:val="none" w:sz="0" w:space="0" w:color="auto"/>
            <w:left w:val="none" w:sz="0" w:space="0" w:color="auto"/>
            <w:bottom w:val="none" w:sz="0" w:space="0" w:color="auto"/>
            <w:right w:val="none" w:sz="0" w:space="0" w:color="auto"/>
          </w:divBdr>
        </w:div>
        <w:div w:id="263273160">
          <w:marLeft w:val="0"/>
          <w:marRight w:val="0"/>
          <w:marTop w:val="0"/>
          <w:marBottom w:val="0"/>
          <w:divBdr>
            <w:top w:val="none" w:sz="0" w:space="0" w:color="auto"/>
            <w:left w:val="none" w:sz="0" w:space="0" w:color="auto"/>
            <w:bottom w:val="none" w:sz="0" w:space="0" w:color="auto"/>
            <w:right w:val="none" w:sz="0" w:space="0" w:color="auto"/>
          </w:divBdr>
        </w:div>
        <w:div w:id="905452245">
          <w:marLeft w:val="0"/>
          <w:marRight w:val="0"/>
          <w:marTop w:val="0"/>
          <w:marBottom w:val="0"/>
          <w:divBdr>
            <w:top w:val="none" w:sz="0" w:space="0" w:color="auto"/>
            <w:left w:val="none" w:sz="0" w:space="0" w:color="auto"/>
            <w:bottom w:val="none" w:sz="0" w:space="0" w:color="auto"/>
            <w:right w:val="none" w:sz="0" w:space="0" w:color="auto"/>
          </w:divBdr>
        </w:div>
        <w:div w:id="2013100528">
          <w:marLeft w:val="0"/>
          <w:marRight w:val="0"/>
          <w:marTop w:val="0"/>
          <w:marBottom w:val="0"/>
          <w:divBdr>
            <w:top w:val="none" w:sz="0" w:space="0" w:color="auto"/>
            <w:left w:val="none" w:sz="0" w:space="0" w:color="auto"/>
            <w:bottom w:val="none" w:sz="0" w:space="0" w:color="auto"/>
            <w:right w:val="none" w:sz="0" w:space="0" w:color="auto"/>
          </w:divBdr>
        </w:div>
        <w:div w:id="389698573">
          <w:marLeft w:val="0"/>
          <w:marRight w:val="0"/>
          <w:marTop w:val="0"/>
          <w:marBottom w:val="0"/>
          <w:divBdr>
            <w:top w:val="none" w:sz="0" w:space="0" w:color="auto"/>
            <w:left w:val="none" w:sz="0" w:space="0" w:color="auto"/>
            <w:bottom w:val="none" w:sz="0" w:space="0" w:color="auto"/>
            <w:right w:val="none" w:sz="0" w:space="0" w:color="auto"/>
          </w:divBdr>
        </w:div>
        <w:div w:id="357971088">
          <w:marLeft w:val="0"/>
          <w:marRight w:val="0"/>
          <w:marTop w:val="0"/>
          <w:marBottom w:val="0"/>
          <w:divBdr>
            <w:top w:val="none" w:sz="0" w:space="0" w:color="auto"/>
            <w:left w:val="none" w:sz="0" w:space="0" w:color="auto"/>
            <w:bottom w:val="none" w:sz="0" w:space="0" w:color="auto"/>
            <w:right w:val="none" w:sz="0" w:space="0" w:color="auto"/>
          </w:divBdr>
        </w:div>
        <w:div w:id="114564284">
          <w:marLeft w:val="0"/>
          <w:marRight w:val="0"/>
          <w:marTop w:val="0"/>
          <w:marBottom w:val="0"/>
          <w:divBdr>
            <w:top w:val="none" w:sz="0" w:space="0" w:color="auto"/>
            <w:left w:val="none" w:sz="0" w:space="0" w:color="auto"/>
            <w:bottom w:val="none" w:sz="0" w:space="0" w:color="auto"/>
            <w:right w:val="none" w:sz="0" w:space="0" w:color="auto"/>
          </w:divBdr>
        </w:div>
      </w:divsChild>
    </w:div>
    <w:div w:id="1883322167">
      <w:bodyDiv w:val="1"/>
      <w:marLeft w:val="0"/>
      <w:marRight w:val="0"/>
      <w:marTop w:val="0"/>
      <w:marBottom w:val="0"/>
      <w:divBdr>
        <w:top w:val="none" w:sz="0" w:space="0" w:color="auto"/>
        <w:left w:val="none" w:sz="0" w:space="0" w:color="auto"/>
        <w:bottom w:val="none" w:sz="0" w:space="0" w:color="auto"/>
        <w:right w:val="none" w:sz="0" w:space="0" w:color="auto"/>
      </w:divBdr>
      <w:divsChild>
        <w:div w:id="1078747120">
          <w:marLeft w:val="0"/>
          <w:marRight w:val="0"/>
          <w:marTop w:val="0"/>
          <w:marBottom w:val="0"/>
          <w:divBdr>
            <w:top w:val="none" w:sz="0" w:space="0" w:color="auto"/>
            <w:left w:val="none" w:sz="0" w:space="0" w:color="auto"/>
            <w:bottom w:val="none" w:sz="0" w:space="0" w:color="auto"/>
            <w:right w:val="none" w:sz="0" w:space="0" w:color="auto"/>
          </w:divBdr>
        </w:div>
        <w:div w:id="534193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253E7-9548-4ABB-BDDD-CBA1940DC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7</Pages>
  <Words>1964</Words>
  <Characters>11197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c_05620050305en00320035.pdf</vt:lpstr>
    </vt:vector>
  </TitlesOfParts>
  <Company>Vlada na RM</Company>
  <LinksUpToDate>false</LinksUpToDate>
  <CharactersWithSpaces>13135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c_05620050305en00320035.pdf</dc:title>
  <dc:creator>Sanja.Georgievska</dc:creator>
  <cp:lastModifiedBy>VALE</cp:lastModifiedBy>
  <cp:revision>13</cp:revision>
  <dcterms:created xsi:type="dcterms:W3CDTF">2016-08-22T09:18:00Z</dcterms:created>
  <dcterms:modified xsi:type="dcterms:W3CDTF">2016-08-31T13:40:00Z</dcterms:modified>
</cp:coreProperties>
</file>