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0" w:rsidRDefault="005A5409">
      <w:pPr>
        <w:autoSpaceDE w:val="0"/>
        <w:autoSpaceDN w:val="0"/>
        <w:adjustRightInd w:val="0"/>
        <w:spacing w:after="120" w:line="240" w:lineRule="auto"/>
        <w:jc w:val="center"/>
        <w:rPr>
          <w:rFonts w:ascii="SkolaSans" w:hAnsi="SkolaSans" w:cs="TimesNewRomanPS-BoldMT"/>
          <w:b/>
          <w:bCs/>
        </w:rPr>
      </w:pPr>
      <w:r w:rsidRPr="00F31BAF">
        <w:rPr>
          <w:rFonts w:ascii="SkolaSans" w:hAnsi="SkolaSans" w:cs="TimesNewRomanPS-BoldMT"/>
          <w:b/>
          <w:bCs/>
        </w:rPr>
        <w:t>РЕПУБЛИКА МАКЕДОНИЈА</w:t>
      </w:r>
    </w:p>
    <w:p w:rsidR="003802A0" w:rsidRDefault="005A5409">
      <w:pPr>
        <w:autoSpaceDE w:val="0"/>
        <w:autoSpaceDN w:val="0"/>
        <w:adjustRightInd w:val="0"/>
        <w:spacing w:after="120" w:line="240" w:lineRule="auto"/>
        <w:jc w:val="center"/>
        <w:rPr>
          <w:rFonts w:ascii="SkolaSans" w:hAnsi="SkolaSans" w:cs="TimesNewRomanPS-BoldMT"/>
          <w:b/>
          <w:bCs/>
        </w:rPr>
      </w:pPr>
      <w:r w:rsidRPr="00F31BAF">
        <w:rPr>
          <w:rFonts w:ascii="SkolaSans" w:hAnsi="SkolaSans" w:cs="TimesNewRomanPS-BoldMT"/>
          <w:b/>
          <w:bCs/>
        </w:rPr>
        <w:t>КОМИСИЈА ЗА ЗАШТИТА НА КОНКУРЕНЦИЈАТА</w:t>
      </w: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center"/>
        <w:rPr>
          <w:rFonts w:ascii="SkolaSans" w:hAnsi="SkolaSans" w:cs="TimesNewRomanPS-BoldMT"/>
          <w:b/>
          <w:bCs/>
          <w:lang w:val="en-US"/>
        </w:rPr>
      </w:pPr>
    </w:p>
    <w:p w:rsidR="003802A0" w:rsidRDefault="00F83E03">
      <w:pPr>
        <w:autoSpaceDE w:val="0"/>
        <w:autoSpaceDN w:val="0"/>
        <w:adjustRightInd w:val="0"/>
        <w:spacing w:after="120" w:line="240" w:lineRule="auto"/>
        <w:jc w:val="center"/>
        <w:rPr>
          <w:rFonts w:ascii="SkolaSans" w:hAnsi="SkolaSans" w:cs="TimesNewRomanPS-BoldMT"/>
          <w:b/>
          <w:bCs/>
        </w:rPr>
      </w:pPr>
      <w:r w:rsidRPr="00F31BAF">
        <w:rPr>
          <w:rFonts w:ascii="SkolaSans" w:hAnsi="SkolaSans" w:cs="TimesNewRomanPS-BoldMT"/>
          <w:b/>
          <w:bCs/>
        </w:rPr>
        <w:t>НАСОКИ ЗА ДЕФИНИРАЊЕ НА РЕЛЕВАНТЕН ПАЗАР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jc w:val="center"/>
        <w:rPr>
          <w:rFonts w:ascii="SkolaSans" w:hAnsi="SkolaSans" w:cs="TimesNewRomanPS-BoldMT"/>
          <w:b/>
          <w:bCs/>
        </w:rPr>
      </w:pPr>
      <w:r w:rsidRPr="00F31BAF">
        <w:rPr>
          <w:rFonts w:ascii="SkolaSans" w:hAnsi="SkolaSans" w:cs="TimesNewRomanPS-BoldMT"/>
          <w:b/>
          <w:bCs/>
        </w:rPr>
        <w:t>ЗА ЦЕЛИТЕ НА</w:t>
      </w:r>
    </w:p>
    <w:p w:rsidR="003802A0" w:rsidRDefault="00F83E03">
      <w:pPr>
        <w:spacing w:after="120" w:line="240" w:lineRule="auto"/>
        <w:jc w:val="center"/>
        <w:rPr>
          <w:rFonts w:ascii="SkolaSans" w:hAnsi="SkolaSans" w:cs="TimesNewRomanPS-BoldMT"/>
          <w:b/>
          <w:bCs/>
          <w:lang w:val="en-US"/>
        </w:rPr>
      </w:pPr>
      <w:r w:rsidRPr="00F31BAF">
        <w:rPr>
          <w:rFonts w:ascii="SkolaSans" w:hAnsi="SkolaSans" w:cs="TimesNewRomanPS-BoldMT"/>
          <w:b/>
          <w:bCs/>
        </w:rPr>
        <w:t>ЗАКОНОТ ЗА ЗАШТИТА НА КОНКУРЕНЦИЈАТА</w:t>
      </w:r>
    </w:p>
    <w:p w:rsidR="00DF3B6D" w:rsidRPr="00DF3B6D" w:rsidRDefault="00DF3B6D">
      <w:pPr>
        <w:spacing w:after="120" w:line="240" w:lineRule="auto"/>
        <w:jc w:val="center"/>
        <w:rPr>
          <w:rFonts w:ascii="SkolaSans" w:hAnsi="SkolaSans" w:cs="TimesNewRomanPS-BoldMT"/>
          <w:b/>
          <w:bCs/>
          <w:lang w:val="en-US"/>
        </w:rPr>
      </w:pPr>
      <w:r w:rsidRPr="00F31BAF">
        <w:rPr>
          <w:rFonts w:ascii="SkolaSans" w:hAnsi="SkolaSans" w:cs="TimesNewRomanPSMT"/>
        </w:rPr>
        <w:t>(„Службен весник на Република Македонија“ бр. 145/10)</w:t>
      </w: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E4F5F">
      <w:pPr>
        <w:spacing w:after="120" w:line="240" w:lineRule="auto"/>
        <w:jc w:val="center"/>
        <w:rPr>
          <w:rFonts w:ascii="SkolaSans" w:hAnsi="SkolaSans" w:cs="TimesNewRomanPS-BoldMT"/>
          <w:b/>
          <w:bCs/>
        </w:rPr>
      </w:pPr>
      <w:r w:rsidRPr="00F31BAF">
        <w:rPr>
          <w:rFonts w:ascii="SkolaSans" w:hAnsi="SkolaSans" w:cs="TimesNewRomanPS-BoldMT"/>
          <w:b/>
          <w:bCs/>
        </w:rPr>
        <w:t xml:space="preserve">Мај </w:t>
      </w:r>
      <w:r w:rsidR="005A5409" w:rsidRPr="00F31BAF">
        <w:rPr>
          <w:rFonts w:ascii="SkolaSans" w:hAnsi="SkolaSans" w:cs="TimesNewRomanPS-BoldMT"/>
          <w:b/>
          <w:bCs/>
        </w:rPr>
        <w:t>2011 година</w:t>
      </w: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spacing w:after="120" w:line="240" w:lineRule="auto"/>
        <w:jc w:val="both"/>
        <w:rPr>
          <w:rFonts w:ascii="SkolaSans" w:hAnsi="SkolaSans" w:cs="TimesNewRomanPS-BoldMT"/>
          <w:b/>
          <w:bCs/>
          <w:lang w:val="en-US"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sdt>
      <w:sdtPr>
        <w:rPr>
          <w:rFonts w:ascii="SkolaSans" w:eastAsiaTheme="minorEastAsia" w:hAnsi="SkolaSans" w:cstheme="minorBidi"/>
          <w:b w:val="0"/>
          <w:bCs w:val="0"/>
          <w:color w:val="auto"/>
          <w:sz w:val="22"/>
          <w:szCs w:val="22"/>
          <w:lang w:val="mk-MK" w:eastAsia="mk-MK"/>
        </w:rPr>
        <w:id w:val="21505673"/>
        <w:docPartObj>
          <w:docPartGallery w:val="Table of Contents"/>
          <w:docPartUnique/>
        </w:docPartObj>
      </w:sdtPr>
      <w:sdtContent>
        <w:p w:rsidR="00DE2669" w:rsidRPr="00F31BAF" w:rsidRDefault="003E4F5F">
          <w:pPr>
            <w:pStyle w:val="TOCHeading"/>
            <w:rPr>
              <w:rFonts w:ascii="SkolaSans" w:hAnsi="SkolaSans"/>
              <w:color w:val="auto"/>
              <w:sz w:val="22"/>
              <w:szCs w:val="22"/>
            </w:rPr>
          </w:pPr>
          <w:r w:rsidRPr="00F31BAF">
            <w:rPr>
              <w:rFonts w:ascii="SkolaSans" w:hAnsi="SkolaSans"/>
              <w:color w:val="auto"/>
              <w:sz w:val="22"/>
              <w:szCs w:val="22"/>
              <w:lang w:val="mk-MK"/>
            </w:rPr>
            <w:t>Содржина</w:t>
          </w:r>
        </w:p>
        <w:p w:rsidR="00E1542B" w:rsidRDefault="00344FD3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F31BAF">
            <w:rPr>
              <w:rFonts w:ascii="SkolaSans" w:hAnsi="SkolaSans"/>
            </w:rPr>
            <w:fldChar w:fldCharType="begin"/>
          </w:r>
          <w:r w:rsidR="00DE2669" w:rsidRPr="00F31BAF">
            <w:rPr>
              <w:rFonts w:ascii="SkolaSans" w:hAnsi="SkolaSans"/>
            </w:rPr>
            <w:instrText xml:space="preserve"> TOC \o "1-3" \h \z \u </w:instrText>
          </w:r>
          <w:r w:rsidRPr="00F31BAF">
            <w:rPr>
              <w:rFonts w:ascii="SkolaSans" w:hAnsi="SkolaSans"/>
            </w:rPr>
            <w:fldChar w:fldCharType="separate"/>
          </w:r>
          <w:hyperlink w:anchor="_Toc292717596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I. ВОВЕД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92717597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II. ДЕФИНИЦИЈА НА РЕЛЕВАНТЕН ПАЗАР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92717598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1. Дефиниција на релевантен пазар на стоки и релевантен географски пазар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599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1.1. Концептот на релевантен пазар и целите на примена на ЗЗК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92717600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2.Основни принципи за дефинирање на пазарот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01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2.1 Ограничувања на конкуренцијата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02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2.2 Заменливост на страната на побарувачката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03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2.3 Заменливост на страната на понудата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04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2.4 Потенцијална конкуренција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92717605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III. ДОКАЗИ НА КОИ СЕ БАЗИРА ДЕФИНИРАЊЕТО НА РЕЛЕВАНТНИТЕ ПАЗАРИ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92717606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1. Процесот на дефинирање на релевантниот пазар во пракса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07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1.1 Релевантен пазар на стоки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08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1.2  Релевантен географски пазар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92717609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 Прибавување на докази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10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2.1 Докази за дефинирање на пазарите – релевантен пазар на стоки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292717611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2.2 Докази за дефинирање на географскиот пазар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92717612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IV. ПРЕСМЕТУВАЊЕ НА ПАЗАРНИ УДЕЛИ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542B" w:rsidRDefault="00344FD3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92717613" w:history="1">
            <w:r w:rsidR="00E1542B" w:rsidRPr="00F236EC">
              <w:rPr>
                <w:rStyle w:val="Hyperlink"/>
                <w:rFonts w:ascii="SkolaSans" w:hAnsi="SkolaSans"/>
                <w:noProof/>
              </w:rPr>
              <w:t>V. ДОПОЛНИТЕЛНИ ЗАБЕЛЕШКИ</w:t>
            </w:r>
            <w:r w:rsidR="00E154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542B">
              <w:rPr>
                <w:noProof/>
                <w:webHidden/>
              </w:rPr>
              <w:instrText xml:space="preserve"> PAGEREF _Toc292717613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F8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69" w:rsidRPr="00F31BAF" w:rsidRDefault="00344FD3">
          <w:pPr>
            <w:rPr>
              <w:rFonts w:ascii="SkolaSans" w:hAnsi="SkolaSans"/>
            </w:rPr>
          </w:pPr>
          <w:r w:rsidRPr="00F31BAF">
            <w:rPr>
              <w:rFonts w:ascii="SkolaSans" w:hAnsi="SkolaSans"/>
            </w:rPr>
            <w:fldChar w:fldCharType="end"/>
          </w:r>
        </w:p>
      </w:sdtContent>
    </w:sdt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-BoldMT"/>
          <w:b/>
          <w:bCs/>
        </w:rPr>
      </w:pPr>
    </w:p>
    <w:p w:rsidR="003802A0" w:rsidRDefault="00F83E03">
      <w:pPr>
        <w:pStyle w:val="Heading1"/>
        <w:spacing w:before="240" w:after="240"/>
        <w:rPr>
          <w:rFonts w:ascii="SkolaSans" w:hAnsi="SkolaSans"/>
        </w:rPr>
      </w:pPr>
      <w:bookmarkStart w:id="0" w:name="_Toc292715871"/>
      <w:bookmarkStart w:id="1" w:name="_Toc292717596"/>
      <w:r w:rsidRPr="00F31BAF">
        <w:rPr>
          <w:rFonts w:ascii="SkolaSans" w:hAnsi="SkolaSans"/>
          <w:color w:val="auto"/>
          <w:sz w:val="22"/>
          <w:szCs w:val="22"/>
        </w:rPr>
        <w:lastRenderedPageBreak/>
        <w:t>I. ВОВЕД</w:t>
      </w:r>
      <w:bookmarkEnd w:id="0"/>
      <w:bookmarkEnd w:id="1"/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Целта на ов</w:t>
      </w:r>
      <w:r w:rsidR="00C26BA9" w:rsidRPr="00F31BAF">
        <w:rPr>
          <w:rFonts w:ascii="SkolaSans" w:hAnsi="SkolaSans" w:cs="TimesNewRomanPSMT"/>
        </w:rPr>
        <w:t>ие</w:t>
      </w:r>
      <w:r w:rsidRPr="00F31BAF">
        <w:rPr>
          <w:rFonts w:ascii="SkolaSans" w:hAnsi="SkolaSans" w:cs="TimesNewRomanPSMT"/>
        </w:rPr>
        <w:t xml:space="preserve"> насок</w:t>
      </w:r>
      <w:r w:rsidR="00C26BA9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е да обезбед</w:t>
      </w:r>
      <w:r w:rsidR="00C26BA9" w:rsidRPr="00F31BAF">
        <w:rPr>
          <w:rFonts w:ascii="SkolaSans" w:hAnsi="SkolaSans" w:cs="TimesNewRomanPSMT"/>
        </w:rPr>
        <w:t>ат</w:t>
      </w:r>
      <w:r w:rsidRPr="00F31BAF">
        <w:rPr>
          <w:rFonts w:ascii="SkolaSans" w:hAnsi="SkolaSans" w:cs="TimesNewRomanPSMT"/>
        </w:rPr>
        <w:t xml:space="preserve"> упатство како Комисијата за заштита на конкуренцијата (во понатамошниот текст: Комисија) го применува концептот за релевантен географски пазар и пазар на стоки во тековната примена на Законот за заштита</w:t>
      </w:r>
      <w:r w:rsidRPr="00F31BAF">
        <w:rPr>
          <w:rFonts w:ascii="SkolaSans" w:hAnsi="SkolaSans" w:cs="TimesNewRomanPSMT"/>
          <w:lang w:val="en-US"/>
        </w:rPr>
        <w:t xml:space="preserve"> </w:t>
      </w:r>
      <w:r w:rsidRPr="00F31BAF">
        <w:rPr>
          <w:rFonts w:ascii="SkolaSans" w:hAnsi="SkolaSans" w:cs="TimesNewRomanPSMT"/>
        </w:rPr>
        <w:t xml:space="preserve">на конкуренцијата („Службен </w:t>
      </w:r>
      <w:r w:rsidR="00C26BA9" w:rsidRPr="00F31BAF">
        <w:rPr>
          <w:rFonts w:ascii="SkolaSans" w:hAnsi="SkolaSans" w:cs="TimesNewRomanPSMT"/>
        </w:rPr>
        <w:t>в</w:t>
      </w:r>
      <w:r w:rsidRPr="00F31BAF">
        <w:rPr>
          <w:rFonts w:ascii="SkolaSans" w:hAnsi="SkolaSans" w:cs="TimesNewRomanPSMT"/>
        </w:rPr>
        <w:t>есник на Република Македонија</w:t>
      </w:r>
      <w:r w:rsidR="00C26BA9" w:rsidRPr="00F31BAF">
        <w:rPr>
          <w:rFonts w:ascii="SkolaSans" w:hAnsi="SkolaSans" w:cs="TimesNewRomanPSMT"/>
        </w:rPr>
        <w:t>“</w:t>
      </w:r>
      <w:r w:rsidRPr="00F31BAF">
        <w:rPr>
          <w:rFonts w:ascii="SkolaSans" w:hAnsi="SkolaSans" w:cs="TimesNewRomanPSMT"/>
        </w:rPr>
        <w:t xml:space="preserve"> бр. </w:t>
      </w:r>
      <w:r w:rsidR="00C26BA9" w:rsidRPr="00F31BAF">
        <w:rPr>
          <w:rFonts w:ascii="SkolaSans" w:hAnsi="SkolaSans" w:cs="TimesNewRomanPSMT"/>
        </w:rPr>
        <w:t>145/10)</w:t>
      </w:r>
      <w:r w:rsidRPr="00F31BAF">
        <w:rPr>
          <w:rFonts w:ascii="SkolaSans" w:hAnsi="SkolaSans" w:cs="TimesNewRomanPSMT"/>
          <w:lang w:val="en-US"/>
        </w:rPr>
        <w:t xml:space="preserve">. </w:t>
      </w:r>
      <w:r w:rsidR="00A704A0" w:rsidRPr="00F31BAF">
        <w:rPr>
          <w:rStyle w:val="FootnoteReference"/>
          <w:rFonts w:ascii="SkolaSans" w:hAnsi="SkolaSans" w:cs="TimesNewRomanPSMT"/>
          <w:lang w:val="en-US"/>
        </w:rPr>
        <w:footnoteReference w:id="2"/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Дефинирањето на пазарот е инструмент за идентификување и дефинирање на границите на конкуренцијата помеѓу претпријатијата. Тоа служи за утврдување на рамка во која се применува конкурентската политика од страна на Комисијата. Основната цел на дефинирањето на пазарот е на систематски начин да се идентификуваат ограничувањата на конкуренцијата со кои се соочуваат засегнатите претпријатија</w:t>
      </w:r>
      <w:r w:rsidR="00F3379E" w:rsidRPr="00F31BAF">
        <w:rPr>
          <w:rStyle w:val="FootnoteReference"/>
          <w:rFonts w:ascii="SkolaSans" w:hAnsi="SkolaSans" w:cs="TimesNewRomanPSMT"/>
        </w:rPr>
        <w:footnoteReference w:id="3"/>
      </w:r>
      <w:r w:rsidRPr="00F31BAF">
        <w:rPr>
          <w:rFonts w:ascii="SkolaSans" w:hAnsi="SkolaSans" w:cs="TimesNewRomanPSMT"/>
        </w:rPr>
        <w:t>. Целта на дефинирањето на пазарот во неговите две димензии: пазар на стоки и географски пазар, е да се идентификуваат постојните конкуренти на засегнатите претпријатија (странки во постапките пред Комисијата) кои можат да го ограничат однесувањето на засегнатите претпријатија и да спречат тие да се однесуваат независно на пазарот. Од оваа перспектива дефинирањето на пазарот овозможува</w:t>
      </w:r>
      <w:r w:rsidR="00657031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помеѓу другото</w:t>
      </w:r>
      <w:r w:rsidR="00657031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да се пресметаат пазарните удели кои ќе обезбедат значајна информација во поглед на пазарната моќ </w:t>
      </w:r>
      <w:r w:rsidR="00657031" w:rsidRPr="00F31BAF">
        <w:rPr>
          <w:rFonts w:ascii="SkolaSans" w:hAnsi="SkolaSans" w:cs="TimesNewRomanPSMT"/>
        </w:rPr>
        <w:t xml:space="preserve">со цел </w:t>
      </w:r>
      <w:r w:rsidRPr="00F31BAF">
        <w:rPr>
          <w:rFonts w:ascii="SkolaSans" w:hAnsi="SkolaSans" w:cs="TimesNewRomanPSMT"/>
        </w:rPr>
        <w:t>оценка на доминантн</w:t>
      </w:r>
      <w:r w:rsidR="00657031" w:rsidRPr="00F31BAF">
        <w:rPr>
          <w:rFonts w:ascii="SkolaSans" w:hAnsi="SkolaSans" w:cs="TimesNewRomanPSMT"/>
        </w:rPr>
        <w:t xml:space="preserve">а позиција </w:t>
      </w:r>
      <w:r w:rsidRPr="00F31BAF">
        <w:rPr>
          <w:rFonts w:ascii="SkolaSans" w:hAnsi="SkolaSans" w:cs="TimesNewRomanPSMT"/>
        </w:rPr>
        <w:t xml:space="preserve">или за оценка на забранети договори.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Од горе наведе</w:t>
      </w:r>
      <w:r w:rsidR="008237C5" w:rsidRPr="00F31BAF">
        <w:rPr>
          <w:rFonts w:ascii="SkolaSans" w:hAnsi="SkolaSans" w:cs="TimesNewRomanPSMT"/>
        </w:rPr>
        <w:t>ното следува дека концептот на „</w:t>
      </w:r>
      <w:r w:rsidRPr="00F31BAF">
        <w:rPr>
          <w:rFonts w:ascii="SkolaSans" w:hAnsi="SkolaSans" w:cs="TimesNewRomanPSMT"/>
        </w:rPr>
        <w:t>релевантен пазар" е различен од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другите концепти на „пазар“ кои честопати се користат во друг контекст. На пример,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претпријатијата често го користат терминот </w:t>
      </w:r>
      <w:r w:rsidR="008237C5" w:rsidRPr="00F31BAF">
        <w:rPr>
          <w:rFonts w:ascii="SkolaSans" w:hAnsi="SkolaSans" w:cs="TimesNewRomanPSMT"/>
        </w:rPr>
        <w:t>„</w:t>
      </w:r>
      <w:r w:rsidRPr="00F31BAF">
        <w:rPr>
          <w:rFonts w:ascii="SkolaSans" w:hAnsi="SkolaSans" w:cs="TimesNewRomanPSMT"/>
        </w:rPr>
        <w:t>пазар" со цел да упатат на областа каде ги</w:t>
      </w:r>
      <w:r w:rsidR="0071727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продаваат своите стоки или да упатат пошироко на индустријата или секторот на кој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припаѓаат.</w:t>
      </w:r>
      <w:r w:rsidR="00083037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Дефиницијата за релевантен пазар во двете димензии: пазар на стоки и географски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пазар често има одлучувачко влијание врз оценката на конкурентските случаи. Преку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известувањето на јавноста за постапките кои Комисијата ги спроведува кога се работи за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дефинирање на пазарот и преку наведување на критериумите и доказите врз кои таа се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потпира при донесување на одлука, Комисијата очекува зголемување на транспарентноста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во примената на Законот за заштита на конкуренцијата (во понатамошниот текст ЗЗК) и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процесот на донесување на одлуки во сферата на конкурентската политика.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Зголемената транспарентност исто така ќе има за резултат претпријатијата да бидат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способни подобро да ја предвидат можноста дека Комисијата ќе поведе постапка во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одреден случај. Оттука, претпријатијата можат да ја земат во предвид</w:t>
      </w:r>
      <w:r w:rsidR="0071727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таквата можност при донесувањето на нивните интерни одлуки кога имаат намера за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преземање, создавање на заеднички вложувања или склучување на одредени договори.</w:t>
      </w:r>
      <w:r w:rsidR="0071727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Исто така, се настојува претпријатијата да бидат во подобра позиција да разберат кои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информации Комисијата ги смета за релевантни за целите на дефинирање</w:t>
      </w:r>
      <w:r w:rsidR="00657031" w:rsidRPr="00F31BAF">
        <w:rPr>
          <w:rFonts w:ascii="SkolaSans" w:hAnsi="SkolaSans" w:cs="TimesNewRomanPSMT"/>
        </w:rPr>
        <w:t xml:space="preserve"> на пазарот</w:t>
      </w:r>
      <w:r w:rsidRPr="00F31BAF">
        <w:rPr>
          <w:rFonts w:ascii="SkolaSans" w:hAnsi="SkolaSans" w:cs="TimesNewRomanPSMT"/>
        </w:rPr>
        <w:t>.</w:t>
      </w:r>
    </w:p>
    <w:p w:rsidR="003802A0" w:rsidRDefault="00F83E03">
      <w:pPr>
        <w:pStyle w:val="Heading1"/>
        <w:spacing w:before="240" w:after="240"/>
        <w:rPr>
          <w:rFonts w:ascii="SkolaSans" w:hAnsi="SkolaSans"/>
        </w:rPr>
      </w:pPr>
      <w:bookmarkStart w:id="2" w:name="_Toc292715872"/>
      <w:bookmarkStart w:id="3" w:name="_Toc292717597"/>
      <w:r w:rsidRPr="00F31BAF">
        <w:rPr>
          <w:rFonts w:ascii="SkolaSans" w:hAnsi="SkolaSans"/>
          <w:color w:val="auto"/>
          <w:sz w:val="22"/>
          <w:szCs w:val="22"/>
        </w:rPr>
        <w:lastRenderedPageBreak/>
        <w:t>II. ДЕФИНИЦИЈА НА РЕЛЕВАНТЕН ПАЗАР</w:t>
      </w:r>
      <w:bookmarkEnd w:id="2"/>
      <w:bookmarkEnd w:id="3"/>
    </w:p>
    <w:p w:rsidR="003802A0" w:rsidRDefault="00F83E03">
      <w:pPr>
        <w:pStyle w:val="Heading2"/>
        <w:spacing w:before="240" w:after="240"/>
        <w:rPr>
          <w:rFonts w:ascii="SkolaSans" w:hAnsi="SkolaSans"/>
        </w:rPr>
      </w:pPr>
      <w:bookmarkStart w:id="4" w:name="_Toc292715873"/>
      <w:bookmarkStart w:id="5" w:name="_Toc292717598"/>
      <w:r w:rsidRPr="00F31BAF">
        <w:rPr>
          <w:rFonts w:ascii="SkolaSans" w:hAnsi="SkolaSans"/>
          <w:color w:val="auto"/>
          <w:sz w:val="22"/>
          <w:szCs w:val="22"/>
        </w:rPr>
        <w:t>1. Дефиниција на релевантен пазар на стоки и релевантен географски пазар</w:t>
      </w:r>
      <w:bookmarkEnd w:id="4"/>
      <w:bookmarkEnd w:id="5"/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Во член (5) од ЗЗК се наведени следните дефиниции:</w:t>
      </w:r>
    </w:p>
    <w:p w:rsidR="003802A0" w:rsidRDefault="00F83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„</w:t>
      </w:r>
      <w:r w:rsidR="00717279" w:rsidRPr="00F31BAF">
        <w:rPr>
          <w:rFonts w:ascii="SkolaSans" w:hAnsi="SkolaSans" w:cs="TimesNewRomanPSMT"/>
          <w:b/>
        </w:rPr>
        <w:t>Р</w:t>
      </w:r>
      <w:r w:rsidRPr="00F31BAF">
        <w:rPr>
          <w:rFonts w:ascii="SkolaSans" w:hAnsi="SkolaSans" w:cs="TimesNewRomanPS-BoldMT"/>
          <w:b/>
          <w:bCs/>
        </w:rPr>
        <w:t>елевантен пазар на стоки</w:t>
      </w:r>
      <w:r w:rsidRPr="00F31BAF">
        <w:rPr>
          <w:rFonts w:ascii="SkolaSans" w:hAnsi="SkolaSans" w:cs="TimesNewRomanPSMT"/>
        </w:rPr>
        <w:t>“ е пазар на сите стоки и/или услуги што се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сметаат за меѓусебно разменливи или заменливи за потрошувачот, според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карактеристиките на стоките, нивните цени и нивната наменска употреба".</w:t>
      </w:r>
    </w:p>
    <w:p w:rsidR="003802A0" w:rsidRDefault="00717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-BoldMT"/>
          <w:b/>
          <w:bCs/>
        </w:rPr>
        <w:t>„</w:t>
      </w:r>
      <w:r w:rsidR="00F83E03" w:rsidRPr="00F31BAF">
        <w:rPr>
          <w:rFonts w:ascii="SkolaSans" w:hAnsi="SkolaSans" w:cs="TimesNewRomanPS-BoldMT"/>
          <w:b/>
          <w:bCs/>
        </w:rPr>
        <w:t>Рел</w:t>
      </w:r>
      <w:r w:rsidRPr="00F31BAF">
        <w:rPr>
          <w:rFonts w:ascii="SkolaSans" w:hAnsi="SkolaSans" w:cs="TimesNewRomanPS-BoldMT"/>
          <w:b/>
          <w:bCs/>
        </w:rPr>
        <w:t>е</w:t>
      </w:r>
      <w:r w:rsidR="00F83E03" w:rsidRPr="00F31BAF">
        <w:rPr>
          <w:rFonts w:ascii="SkolaSans" w:hAnsi="SkolaSans" w:cs="TimesNewRomanPS-BoldMT"/>
          <w:b/>
          <w:bCs/>
        </w:rPr>
        <w:t>вантен географски пазар</w:t>
      </w:r>
      <w:r w:rsidR="00F83E03" w:rsidRPr="00F31BAF">
        <w:rPr>
          <w:rFonts w:ascii="SkolaSans" w:hAnsi="SkolaSans" w:cs="TimesNewRomanPSMT"/>
        </w:rPr>
        <w:t>" е пазар на подрачје во кое засегнатите</w:t>
      </w:r>
      <w:r w:rsidR="00083037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претпријатија се вклучени во понудата и побарувачката на стоки </w:t>
      </w:r>
      <w:r w:rsidR="008237C5" w:rsidRPr="00F31BAF">
        <w:rPr>
          <w:rFonts w:ascii="SkolaSans" w:hAnsi="SkolaSans" w:cs="TimesNewRomanPSMT"/>
        </w:rPr>
        <w:t>и/</w:t>
      </w:r>
      <w:r w:rsidR="00F83E03" w:rsidRPr="00F31BAF">
        <w:rPr>
          <w:rFonts w:ascii="SkolaSans" w:hAnsi="SkolaSans" w:cs="TimesNewRomanPSMT"/>
        </w:rPr>
        <w:t>или услуги, во</w:t>
      </w:r>
      <w:r w:rsidR="00083037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ко</w:t>
      </w:r>
      <w:r w:rsidR="008237C5" w:rsidRPr="00F31BAF">
        <w:rPr>
          <w:rFonts w:ascii="SkolaSans" w:hAnsi="SkolaSans" w:cs="TimesNewRomanPSMT"/>
        </w:rPr>
        <w:t>е</w:t>
      </w:r>
      <w:r w:rsidR="00F83E03" w:rsidRPr="00F31BAF">
        <w:rPr>
          <w:rFonts w:ascii="SkolaSans" w:hAnsi="SkolaSans" w:cs="TimesNewRomanPSMT"/>
        </w:rPr>
        <w:t xml:space="preserve"> условите за конкуренција се доволно хомогени и можат да се разграничат</w:t>
      </w:r>
      <w:r w:rsidR="00083037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од соседните подрачја, според условите за конкуренција кои се значително</w:t>
      </w:r>
      <w:r w:rsidR="00083037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различни во тие подрачја".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Релевантен пазар во кој треба да се даде оценка за одредено прашање од областа на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конкуренцијата е утврден преку комбинација на пазарот на стоки и географскиот пазар.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Комисијата ги толкува горенаведените дефиниции согласно насоките определени во ов</w:t>
      </w:r>
      <w:r w:rsidR="00D500E5" w:rsidRPr="00F31BAF">
        <w:rPr>
          <w:rFonts w:ascii="SkolaSans" w:hAnsi="SkolaSans" w:cs="TimesNewRomanPSMT"/>
        </w:rPr>
        <w:t>ие</w:t>
      </w:r>
      <w:r w:rsidR="0008303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Насок</w:t>
      </w:r>
      <w:r w:rsidR="00D500E5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>.</w:t>
      </w: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MT"/>
        </w:rPr>
      </w:pPr>
    </w:p>
    <w:p w:rsidR="003802A0" w:rsidRDefault="00DE2669">
      <w:pPr>
        <w:pStyle w:val="Heading3"/>
        <w:spacing w:before="120" w:after="120"/>
        <w:ind w:firstLine="426"/>
        <w:rPr>
          <w:rFonts w:ascii="SkolaSans" w:hAnsi="SkolaSans"/>
        </w:rPr>
      </w:pPr>
      <w:bookmarkStart w:id="6" w:name="_Toc292715874"/>
      <w:bookmarkStart w:id="7" w:name="_Toc292717599"/>
      <w:r w:rsidRPr="00F31BAF">
        <w:rPr>
          <w:rFonts w:ascii="SkolaSans" w:hAnsi="SkolaSans"/>
          <w:color w:val="auto"/>
        </w:rPr>
        <w:t xml:space="preserve">1.1. </w:t>
      </w:r>
      <w:r w:rsidR="00F83E03" w:rsidRPr="00F31BAF">
        <w:rPr>
          <w:rFonts w:ascii="SkolaSans" w:hAnsi="SkolaSans"/>
          <w:color w:val="auto"/>
        </w:rPr>
        <w:t>Концептот на релевантен пазар и целите на примена на ЗЗК</w:t>
      </w:r>
      <w:bookmarkEnd w:id="6"/>
      <w:bookmarkEnd w:id="7"/>
    </w:p>
    <w:p w:rsidR="00F83E03" w:rsidRPr="00F31BAF" w:rsidRDefault="00F83E03" w:rsidP="009753F9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Концептот на релевантен пазар е тесно поврзан со целите на примена на ЗЗК. На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пример, во глава трета од ЗЗК –</w:t>
      </w:r>
      <w:r w:rsidR="008237C5" w:rsidRPr="00F31BAF">
        <w:rPr>
          <w:rFonts w:ascii="SkolaSans" w:hAnsi="SkolaSans" w:cs="TimesNewRomanPSMT"/>
        </w:rPr>
        <w:t xml:space="preserve"> К</w:t>
      </w:r>
      <w:r w:rsidRPr="00F31BAF">
        <w:rPr>
          <w:rFonts w:ascii="SkolaSans" w:hAnsi="SkolaSans" w:cs="TimesNewRomanPSMT"/>
        </w:rPr>
        <w:t>онцентрации</w:t>
      </w:r>
      <w:r w:rsidR="00D76E8B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- целта на контролирањето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структурните промени во снабдувањето со стоки/услуги е да се спречи создавање или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зајакнување на доминантна позиција која има за резултат спречување, ограничување или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нарушување на ефективната конкуренција на пазарот или на негов суштински дел.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Домина</w:t>
      </w:r>
      <w:r w:rsidR="00D76E8B" w:rsidRPr="00F31BAF">
        <w:rPr>
          <w:rFonts w:ascii="SkolaSans" w:hAnsi="SkolaSans" w:cs="TimesNewRomanPSMT"/>
        </w:rPr>
        <w:t>н</w:t>
      </w:r>
      <w:r w:rsidRPr="00F31BAF">
        <w:rPr>
          <w:rFonts w:ascii="SkolaSans" w:hAnsi="SkolaSans" w:cs="TimesNewRomanPSMT"/>
        </w:rPr>
        <w:t>тна позиција постои кога претпријатие или група на претпријатија се во состојба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да се однесуваат</w:t>
      </w:r>
      <w:r w:rsidR="00F3379E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во значајна мера</w:t>
      </w:r>
      <w:r w:rsidR="00F3379E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независно од нивните конкуренти, к</w:t>
      </w:r>
      <w:r w:rsidR="008B3874" w:rsidRPr="00F31BAF">
        <w:rPr>
          <w:rFonts w:ascii="SkolaSans" w:hAnsi="SkolaSans" w:cs="TimesNewRomanPSMT"/>
        </w:rPr>
        <w:t xml:space="preserve">лиенти </w:t>
      </w:r>
      <w:r w:rsidRPr="00F31BAF">
        <w:rPr>
          <w:rFonts w:ascii="SkolaSans" w:hAnsi="SkolaSans" w:cs="TimesNewRomanPSMT"/>
        </w:rPr>
        <w:t xml:space="preserve">и </w:t>
      </w:r>
      <w:r w:rsidR="00F3379E" w:rsidRPr="00F31BAF">
        <w:rPr>
          <w:rFonts w:ascii="SkolaSans" w:hAnsi="SkolaSans" w:cs="TimesNewRomanPSMT"/>
        </w:rPr>
        <w:t>во крајна линија</w:t>
      </w:r>
      <w:r w:rsidR="00673FED" w:rsidRPr="00F31BAF">
        <w:rPr>
          <w:rFonts w:ascii="SkolaSans" w:hAnsi="SkolaSans" w:cs="TimesNewRomanPSMT"/>
          <w:lang w:val="en-US"/>
        </w:rPr>
        <w:t>,</w:t>
      </w:r>
      <w:r w:rsidR="00F3379E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од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нивните потрошувачи. Таквата позиција најчесто се јавува кога претпријатието или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групата на претпријатија имаат голем</w:t>
      </w:r>
      <w:r w:rsidR="00673FED" w:rsidRPr="00F31BAF">
        <w:rPr>
          <w:rFonts w:ascii="SkolaSans" w:hAnsi="SkolaSans" w:cs="TimesNewRomanPSMT"/>
        </w:rPr>
        <w:t xml:space="preserve"> удел </w:t>
      </w:r>
      <w:r w:rsidRPr="00F31BAF">
        <w:rPr>
          <w:rFonts w:ascii="SkolaSans" w:hAnsi="SkolaSans" w:cs="TimesNewRomanPSMT"/>
        </w:rPr>
        <w:t xml:space="preserve">на пазарот како </w:t>
      </w:r>
      <w:r w:rsidR="00673FED" w:rsidRPr="00F31BAF">
        <w:rPr>
          <w:rFonts w:ascii="SkolaSans" w:hAnsi="SkolaSans" w:cs="TimesNewRomanPSMT"/>
        </w:rPr>
        <w:t>снабдувачи</w:t>
      </w:r>
      <w:r w:rsidRPr="00F31BAF">
        <w:rPr>
          <w:rFonts w:ascii="SkolaSans" w:hAnsi="SkolaSans" w:cs="TimesNewRomanPSMT"/>
        </w:rPr>
        <w:t>, при што другите фактори</w:t>
      </w:r>
      <w:r w:rsidR="00D500E5" w:rsidRPr="00F31BAF">
        <w:rPr>
          <w:rFonts w:ascii="SkolaSans" w:hAnsi="SkolaSans" w:cs="TimesNewRomanPSMT"/>
        </w:rPr>
        <w:t xml:space="preserve"> </w:t>
      </w:r>
      <w:r w:rsidR="00673FED" w:rsidRPr="00F31BAF">
        <w:rPr>
          <w:rFonts w:ascii="SkolaSans" w:hAnsi="SkolaSans" w:cs="TimesNewRomanPSMT"/>
        </w:rPr>
        <w:t xml:space="preserve">анализирани при проценката </w:t>
      </w:r>
      <w:r w:rsidRPr="00F31BAF">
        <w:rPr>
          <w:rFonts w:ascii="SkolaSans" w:hAnsi="SkolaSans" w:cs="TimesNewRomanPSMT"/>
        </w:rPr>
        <w:t>(како што се можностите за влез</w:t>
      </w:r>
      <w:r w:rsidR="00673FED" w:rsidRPr="00F31BAF">
        <w:rPr>
          <w:rFonts w:ascii="SkolaSans" w:hAnsi="SkolaSans" w:cs="TimesNewRomanPSMT"/>
        </w:rPr>
        <w:t xml:space="preserve"> на пазарот</w:t>
      </w:r>
      <w:r w:rsidRPr="00F31BAF">
        <w:rPr>
          <w:rFonts w:ascii="SkolaSans" w:hAnsi="SkolaSans" w:cs="TimesNewRomanPSMT"/>
        </w:rPr>
        <w:t xml:space="preserve">, </w:t>
      </w:r>
      <w:r w:rsidR="00673FED" w:rsidRPr="00F31BAF">
        <w:rPr>
          <w:rFonts w:ascii="SkolaSans" w:hAnsi="SkolaSans" w:cs="TimesNewRomanPSMT"/>
        </w:rPr>
        <w:t xml:space="preserve">способноста на купувачите да реагираат, </w:t>
      </w:r>
      <w:r w:rsidRPr="00F31BAF">
        <w:rPr>
          <w:rFonts w:ascii="SkolaSans" w:hAnsi="SkolaSans" w:cs="TimesNewRomanPSMT"/>
        </w:rPr>
        <w:t>финансиската моќ, пристапот до изворите на набавка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или на пазарот, способноста за диктирање на пазарните услови и сл.) укажуваат на истото.</w:t>
      </w:r>
    </w:p>
    <w:p w:rsidR="003802A0" w:rsidRDefault="00673FE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Комисијата следи и</w:t>
      </w:r>
      <w:r w:rsidR="00F83E03" w:rsidRPr="00F31BAF">
        <w:rPr>
          <w:rFonts w:ascii="SkolaSans" w:hAnsi="SkolaSans" w:cs="TimesNewRomanPSMT"/>
        </w:rPr>
        <w:t>ст пристап кога го применува член 1</w:t>
      </w:r>
      <w:r w:rsidR="00D76E8B" w:rsidRPr="00F31BAF">
        <w:rPr>
          <w:rFonts w:ascii="SkolaSans" w:hAnsi="SkolaSans" w:cs="TimesNewRomanPSMT"/>
        </w:rPr>
        <w:t>0</w:t>
      </w:r>
      <w:r w:rsidR="00F83E03" w:rsidRPr="00F31BAF">
        <w:rPr>
          <w:rFonts w:ascii="SkolaSans" w:hAnsi="SkolaSans" w:cs="TimesNewRomanPSMT"/>
        </w:rPr>
        <w:t xml:space="preserve"> од</w:t>
      </w:r>
      <w:r w:rsidR="00D500E5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ЗЗК на претпријатија кои поседуваат индивидуална или заедничка доминантна позиција.</w:t>
      </w:r>
      <w:r w:rsidR="00D500E5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Согласно ЗЗК, Комисијата има овластување </w:t>
      </w:r>
      <w:r w:rsidR="00AC2D94">
        <w:rPr>
          <w:rFonts w:ascii="SkolaSans" w:hAnsi="SkolaSans" w:cs="TimesNewRomanPSMT"/>
        </w:rPr>
        <w:t xml:space="preserve">во прекршочна постапка да испита и да </w:t>
      </w:r>
      <w:r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 донесе решение со</w:t>
      </w:r>
      <w:r w:rsidR="00D500E5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кое </w:t>
      </w:r>
      <w:r w:rsidRPr="00F31BAF">
        <w:rPr>
          <w:rFonts w:ascii="SkolaSans" w:hAnsi="SkolaSans" w:cs="TimesNewRomanPSMT"/>
        </w:rPr>
        <w:t xml:space="preserve">ќе </w:t>
      </w:r>
      <w:r w:rsidR="00AC2D94">
        <w:rPr>
          <w:rFonts w:ascii="SkolaSans" w:hAnsi="SkolaSans" w:cs="TimesNewRomanPSMT"/>
        </w:rPr>
        <w:t xml:space="preserve">утврди постоење на </w:t>
      </w:r>
      <w:r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злоупотреба на </w:t>
      </w:r>
      <w:r w:rsidR="00304A79" w:rsidRPr="00F31BAF">
        <w:rPr>
          <w:rFonts w:ascii="SkolaSans" w:hAnsi="SkolaSans" w:cs="TimesNewRomanPSMT"/>
        </w:rPr>
        <w:t xml:space="preserve">утврдената </w:t>
      </w:r>
      <w:r w:rsidR="00F83E03" w:rsidRPr="00F31BAF">
        <w:rPr>
          <w:rFonts w:ascii="SkolaSans" w:hAnsi="SkolaSans" w:cs="TimesNewRomanPSMT"/>
        </w:rPr>
        <w:t>доминантна позиција</w:t>
      </w:r>
      <w:r w:rsidR="00AC2D94">
        <w:rPr>
          <w:rFonts w:ascii="SkolaSans" w:hAnsi="SkolaSans" w:cs="TimesNewRomanPSMT"/>
        </w:rPr>
        <w:t xml:space="preserve">. Доминантната позиција </w:t>
      </w:r>
      <w:r w:rsidR="00304A79" w:rsidRPr="00F31BAF">
        <w:rPr>
          <w:rFonts w:ascii="SkolaSans" w:hAnsi="SkolaSans" w:cs="TimesNewRomanPSMT"/>
        </w:rPr>
        <w:t xml:space="preserve">исто така мора да биде дефинирана </w:t>
      </w:r>
      <w:r w:rsidR="00AC2D94">
        <w:rPr>
          <w:rFonts w:ascii="SkolaSans" w:hAnsi="SkolaSans" w:cs="TimesNewRomanPSMT"/>
        </w:rPr>
        <w:t xml:space="preserve">во однос на </w:t>
      </w:r>
      <w:r w:rsidR="00304A79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 релевантниот пазар. </w:t>
      </w:r>
      <w:r w:rsidR="00AC2D94">
        <w:rPr>
          <w:rFonts w:ascii="SkolaSans" w:hAnsi="SkolaSans" w:cs="TimesNewRomanPSMT"/>
        </w:rPr>
        <w:t>Исто така може да биде потребно да се дефинираат п</w:t>
      </w:r>
      <w:r w:rsidR="00304A79" w:rsidRPr="00F31BAF">
        <w:rPr>
          <w:rFonts w:ascii="SkolaSans" w:hAnsi="SkolaSans" w:cs="TimesNewRomanPSMT"/>
        </w:rPr>
        <w:t xml:space="preserve">азарите при </w:t>
      </w:r>
      <w:r w:rsidR="00F83E03" w:rsidRPr="00F31BAF">
        <w:rPr>
          <w:rFonts w:ascii="SkolaSans" w:hAnsi="SkolaSans" w:cs="TimesNewRomanPSMT"/>
        </w:rPr>
        <w:t xml:space="preserve">примена на член 7 од ЗЗК, а особено, </w:t>
      </w:r>
      <w:r w:rsidR="00304A79" w:rsidRPr="00F31BAF">
        <w:rPr>
          <w:rFonts w:ascii="SkolaSans" w:hAnsi="SkolaSans" w:cs="TimesNewRomanPSMT"/>
        </w:rPr>
        <w:t xml:space="preserve">при </w:t>
      </w:r>
      <w:r w:rsidR="00F83E03" w:rsidRPr="00F31BAF">
        <w:rPr>
          <w:rFonts w:ascii="SkolaSans" w:hAnsi="SkolaSans" w:cs="TimesNewRomanPSMT"/>
        </w:rPr>
        <w:t>определувањето дали постои значително ограничување на конкуренцијата или при</w:t>
      </w:r>
      <w:r w:rsidR="00D500E5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утврдувањето дали се исполнети условите од член 7 став (3) за изземање од примена</w:t>
      </w:r>
      <w:r w:rsidR="00D500E5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на член 7 став (1).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Критериумите за дефинирање на релевантниот пазар се применуваат генерално за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анализи на одредени </w:t>
      </w:r>
      <w:r w:rsidR="006B1FB6" w:rsidRPr="00F31BAF">
        <w:rPr>
          <w:rFonts w:ascii="SkolaSans" w:hAnsi="SkolaSans" w:cs="TimesNewRomanPSMT"/>
        </w:rPr>
        <w:t xml:space="preserve">видови на </w:t>
      </w:r>
      <w:r w:rsidRPr="00F31BAF">
        <w:rPr>
          <w:rFonts w:ascii="SkolaSans" w:hAnsi="SkolaSans" w:cs="TimesNewRomanPSMT"/>
        </w:rPr>
        <w:t>однесувањ</w:t>
      </w:r>
      <w:r w:rsidR="006B1FB6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 на пазарот и за анализи на структурни промени во</w:t>
      </w:r>
      <w:r w:rsidR="00D500E5" w:rsidRPr="00F31BAF">
        <w:rPr>
          <w:rFonts w:ascii="SkolaSans" w:hAnsi="SkolaSans" w:cs="TimesNewRomanPSMT"/>
        </w:rPr>
        <w:t xml:space="preserve"> </w:t>
      </w:r>
      <w:r w:rsidR="007B37D7" w:rsidRPr="00F31BAF">
        <w:rPr>
          <w:rFonts w:ascii="SkolaSans" w:hAnsi="SkolaSans" w:cs="TimesNewRomanPSMT"/>
        </w:rPr>
        <w:t xml:space="preserve">снабдувањето со </w:t>
      </w:r>
      <w:r w:rsidRPr="00F31BAF">
        <w:rPr>
          <w:rFonts w:ascii="SkolaSans" w:hAnsi="SkolaSans" w:cs="TimesNewRomanPSMT"/>
        </w:rPr>
        <w:t>стоки. Оваа методологија, сепак, може да води кон различни резултати во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зависност од природата на </w:t>
      </w:r>
      <w:r w:rsidRPr="00F31BAF">
        <w:rPr>
          <w:rFonts w:ascii="SkolaSans" w:hAnsi="SkolaSans" w:cs="TimesNewRomanPSMT"/>
        </w:rPr>
        <w:lastRenderedPageBreak/>
        <w:t>конкурентското прашање кое е предмет на испитување. На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пример, обемот на географскиот пазар може да биде различен кога се анализира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концентрација, каде што анализ</w:t>
      </w:r>
      <w:r w:rsidR="006B1FB6" w:rsidRPr="00F31BAF">
        <w:rPr>
          <w:rFonts w:ascii="SkolaSans" w:hAnsi="SkolaSans" w:cs="TimesNewRomanPSMT"/>
        </w:rPr>
        <w:t xml:space="preserve">ата претежно се однесува на идни очекувани ефекти, за разлика од </w:t>
      </w:r>
      <w:r w:rsidRPr="00F31BAF">
        <w:rPr>
          <w:rFonts w:ascii="SkolaSans" w:hAnsi="SkolaSans" w:cs="TimesNewRomanPSMT"/>
        </w:rPr>
        <w:t>анализата на</w:t>
      </w:r>
      <w:r w:rsidRPr="00F31BAF">
        <w:rPr>
          <w:rFonts w:ascii="SkolaSans" w:hAnsi="SkolaSans" w:cs="TimesNewRomanPS-BoldMT"/>
          <w:lang w:val="en-US"/>
        </w:rPr>
        <w:t xml:space="preserve"> </w:t>
      </w:r>
      <w:r w:rsidR="00D76E8B" w:rsidRPr="00F31BAF">
        <w:rPr>
          <w:rFonts w:ascii="SkolaSans" w:hAnsi="SkolaSans" w:cs="TimesNewRomanPS-BoldMT"/>
        </w:rPr>
        <w:t>м</w:t>
      </w:r>
      <w:r w:rsidRPr="00F31BAF">
        <w:rPr>
          <w:rFonts w:ascii="SkolaSans" w:hAnsi="SkolaSans" w:cs="TimesNewRomanPSMT"/>
        </w:rPr>
        <w:t xml:space="preserve">инато однесување. Различната временска рамка која се зема во предвид во </w:t>
      </w:r>
      <w:r w:rsidR="006B1FB6" w:rsidRPr="00F31BAF">
        <w:rPr>
          <w:rFonts w:ascii="SkolaSans" w:hAnsi="SkolaSans" w:cs="TimesNewRomanPSMT"/>
        </w:rPr>
        <w:t xml:space="preserve">различен </w:t>
      </w:r>
      <w:r w:rsidRPr="00F31BAF">
        <w:rPr>
          <w:rFonts w:ascii="SkolaSans" w:hAnsi="SkolaSans" w:cs="TimesNewRomanPSMT"/>
        </w:rPr>
        <w:t>случај може да води до тоа да се дефинираат различни географски пазари за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исти стоки во зависност од тоа дали Комисијата ги испитува промените во структурата на</w:t>
      </w:r>
      <w:r w:rsidR="00D500E5" w:rsidRPr="00F31BAF">
        <w:rPr>
          <w:rFonts w:ascii="SkolaSans" w:hAnsi="SkolaSans" w:cs="TimesNewRomanPSMT"/>
        </w:rPr>
        <w:t xml:space="preserve"> </w:t>
      </w:r>
      <w:r w:rsidR="006B1FB6" w:rsidRPr="00F31BAF">
        <w:rPr>
          <w:rFonts w:ascii="SkolaSans" w:hAnsi="SkolaSans" w:cs="TimesNewRomanPSMT"/>
        </w:rPr>
        <w:t xml:space="preserve">снабдување, како </w:t>
      </w:r>
      <w:r w:rsidRPr="00F31BAF">
        <w:rPr>
          <w:rFonts w:ascii="SkolaSans" w:hAnsi="SkolaSans" w:cs="TimesNewRomanPSMT"/>
        </w:rPr>
        <w:t>што е концентрацијата или заедничкото вложување, или пак испитува</w:t>
      </w:r>
      <w:r w:rsidR="00D500E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прашања поврзани со одредено однесување</w:t>
      </w:r>
      <w:r w:rsidR="006B1FB6" w:rsidRPr="00F31BAF">
        <w:rPr>
          <w:rFonts w:ascii="SkolaSans" w:hAnsi="SkolaSans" w:cs="TimesNewRomanPSMT"/>
        </w:rPr>
        <w:t xml:space="preserve"> во минатото</w:t>
      </w:r>
      <w:r w:rsidRPr="00F31BAF">
        <w:rPr>
          <w:rFonts w:ascii="SkolaSans" w:hAnsi="SkolaSans" w:cs="TimesNewRomanPSMT"/>
        </w:rPr>
        <w:t>.</w:t>
      </w:r>
    </w:p>
    <w:p w:rsidR="003802A0" w:rsidRDefault="003802A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</w:p>
    <w:p w:rsidR="003802A0" w:rsidRDefault="00F83E03">
      <w:pPr>
        <w:pStyle w:val="Heading2"/>
        <w:spacing w:before="240" w:after="240"/>
        <w:rPr>
          <w:rFonts w:ascii="SkolaSans" w:hAnsi="SkolaSans"/>
        </w:rPr>
      </w:pPr>
      <w:bookmarkStart w:id="8" w:name="_Toc292715875"/>
      <w:bookmarkStart w:id="9" w:name="_Toc292717600"/>
      <w:r w:rsidRPr="00F31BAF">
        <w:rPr>
          <w:rFonts w:ascii="SkolaSans" w:hAnsi="SkolaSans"/>
          <w:color w:val="auto"/>
          <w:sz w:val="22"/>
          <w:szCs w:val="22"/>
        </w:rPr>
        <w:t>2.Основни принципи за дефинирање на пазарот</w:t>
      </w:r>
      <w:bookmarkEnd w:id="8"/>
      <w:bookmarkEnd w:id="9"/>
    </w:p>
    <w:p w:rsidR="003802A0" w:rsidRDefault="00415091">
      <w:pPr>
        <w:pStyle w:val="Heading3"/>
        <w:spacing w:before="240" w:after="240"/>
        <w:ind w:firstLine="426"/>
        <w:rPr>
          <w:rFonts w:ascii="SkolaSans" w:hAnsi="SkolaSans"/>
          <w:b w:val="0"/>
          <w:bCs w:val="0"/>
        </w:rPr>
      </w:pPr>
      <w:bookmarkStart w:id="10" w:name="_Toc292715876"/>
      <w:bookmarkStart w:id="11" w:name="_Toc292717601"/>
      <w:r w:rsidRPr="00415091">
        <w:rPr>
          <w:rFonts w:ascii="SkolaSans" w:hAnsi="SkolaSans"/>
          <w:color w:val="auto"/>
        </w:rPr>
        <w:t>2.1 Ограничувања на конкуренцијата</w:t>
      </w:r>
      <w:bookmarkEnd w:id="10"/>
      <w:bookmarkEnd w:id="11"/>
    </w:p>
    <w:p w:rsidR="003802A0" w:rsidRDefault="008B3874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Претпријатијата се подложни на </w:t>
      </w:r>
      <w:r w:rsidR="00F83E03" w:rsidRPr="00F31BAF">
        <w:rPr>
          <w:rFonts w:ascii="SkolaSans" w:hAnsi="SkolaSans" w:cs="TimesNewRomanPSMT"/>
        </w:rPr>
        <w:t xml:space="preserve">три основни </w:t>
      </w:r>
      <w:r w:rsidRPr="00F31BAF">
        <w:rPr>
          <w:rFonts w:ascii="SkolaSans" w:hAnsi="SkolaSans" w:cs="TimesNewRomanPSMT"/>
        </w:rPr>
        <w:t xml:space="preserve">извори на ограничување на </w:t>
      </w:r>
      <w:r w:rsidR="00F83E03" w:rsidRPr="00F31BAF">
        <w:rPr>
          <w:rFonts w:ascii="SkolaSans" w:hAnsi="SkolaSans" w:cs="TimesNewRomanPSMT"/>
        </w:rPr>
        <w:t>конкурен</w:t>
      </w:r>
      <w:r w:rsidRPr="00F31BAF">
        <w:rPr>
          <w:rFonts w:ascii="SkolaSans" w:hAnsi="SkolaSans" w:cs="TimesNewRomanPSMT"/>
        </w:rPr>
        <w:t>цијата</w:t>
      </w:r>
      <w:r w:rsidR="00F83E03" w:rsidRPr="00F31BAF">
        <w:rPr>
          <w:rFonts w:ascii="SkolaSans" w:hAnsi="SkolaSans" w:cs="TimesNewRomanPS-BoldMT"/>
          <w:b/>
          <w:bCs/>
        </w:rPr>
        <w:t xml:space="preserve">: </w:t>
      </w:r>
      <w:r w:rsidR="00F83E03" w:rsidRPr="00F31BAF">
        <w:rPr>
          <w:rFonts w:ascii="SkolaSans" w:hAnsi="SkolaSans" w:cs="TimesNewRomanPSMT"/>
        </w:rPr>
        <w:t>заменливост на страната на побарувачката, заменливост на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страна</w:t>
      </w:r>
      <w:r w:rsidR="00D76E8B" w:rsidRPr="00F31BAF">
        <w:rPr>
          <w:rFonts w:ascii="SkolaSans" w:hAnsi="SkolaSans" w:cs="TimesNewRomanPSMT"/>
        </w:rPr>
        <w:t>та</w:t>
      </w:r>
      <w:r w:rsidR="00F83E03" w:rsidRPr="00F31BAF">
        <w:rPr>
          <w:rFonts w:ascii="SkolaSans" w:hAnsi="SkolaSans" w:cs="TimesNewRomanPSMT"/>
        </w:rPr>
        <w:t xml:space="preserve"> на </w:t>
      </w:r>
      <w:r w:rsidR="00A05842" w:rsidRPr="00F31BAF">
        <w:rPr>
          <w:rFonts w:ascii="SkolaSans" w:hAnsi="SkolaSans" w:cs="TimesNewRomanPSMT"/>
        </w:rPr>
        <w:t>понудата</w:t>
      </w:r>
      <w:r w:rsidR="00F83E03" w:rsidRPr="00F31BAF">
        <w:rPr>
          <w:rFonts w:ascii="SkolaSans" w:hAnsi="SkolaSans" w:cs="TimesNewRomanPSMT"/>
        </w:rPr>
        <w:t xml:space="preserve"> и потенцијална конкуренција. Од економска гледна точка, за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дефинирање на релевантниот пазар, заменливоста на </w:t>
      </w:r>
      <w:r w:rsidRPr="00F31BAF">
        <w:rPr>
          <w:rFonts w:ascii="SkolaSans" w:hAnsi="SkolaSans" w:cs="TimesNewRomanPSMT"/>
        </w:rPr>
        <w:t xml:space="preserve">страната на </w:t>
      </w:r>
      <w:r w:rsidR="00F83E03" w:rsidRPr="00F31BAF">
        <w:rPr>
          <w:rFonts w:ascii="SkolaSans" w:hAnsi="SkolaSans" w:cs="TimesNewRomanPSMT"/>
        </w:rPr>
        <w:t>побарувачката претставува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најнепосредна и најеф</w:t>
      </w:r>
      <w:r w:rsidRPr="00F31BAF">
        <w:rPr>
          <w:rFonts w:ascii="SkolaSans" w:hAnsi="SkolaSans" w:cs="TimesNewRomanPSMT"/>
        </w:rPr>
        <w:t xml:space="preserve">ективна </w:t>
      </w:r>
      <w:r w:rsidR="00A05842" w:rsidRPr="00F31BAF">
        <w:rPr>
          <w:rFonts w:ascii="SkolaSans" w:hAnsi="SkolaSans" w:cs="TimesNewRomanPSMT"/>
        </w:rPr>
        <w:t>дисциплинска сила</w:t>
      </w:r>
      <w:r w:rsidR="00F83E03" w:rsidRPr="00F31BAF">
        <w:rPr>
          <w:rFonts w:ascii="SkolaSans" w:hAnsi="SkolaSans" w:cs="TimesNewRomanPSMT"/>
        </w:rPr>
        <w:t xml:space="preserve"> врз понудувачите на </w:t>
      </w:r>
      <w:r w:rsidRPr="00F31BAF">
        <w:rPr>
          <w:rFonts w:ascii="SkolaSans" w:hAnsi="SkolaSans" w:cs="TimesNewRomanPSMT"/>
        </w:rPr>
        <w:t>одредена стока</w:t>
      </w:r>
      <w:r w:rsidR="00F83E03" w:rsidRPr="00F31BAF">
        <w:rPr>
          <w:rFonts w:ascii="SkolaSans" w:hAnsi="SkolaSans" w:cs="TimesNewRomanPSMT"/>
        </w:rPr>
        <w:t>,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особено во </w:t>
      </w:r>
      <w:r w:rsidRPr="00F31BAF">
        <w:rPr>
          <w:rFonts w:ascii="SkolaSans" w:hAnsi="SkolaSans" w:cs="TimesNewRomanPSMT"/>
        </w:rPr>
        <w:t xml:space="preserve">однос на </w:t>
      </w:r>
      <w:r w:rsidR="00F83E03" w:rsidRPr="00F31BAF">
        <w:rPr>
          <w:rFonts w:ascii="SkolaSans" w:hAnsi="SkolaSans" w:cs="TimesNewRomanPSMT"/>
        </w:rPr>
        <w:t xml:space="preserve">нивните одлуки </w:t>
      </w:r>
      <w:r w:rsidRPr="00F31BAF">
        <w:rPr>
          <w:rFonts w:ascii="SkolaSans" w:hAnsi="SkolaSans" w:cs="TimesNewRomanPSMT"/>
        </w:rPr>
        <w:t xml:space="preserve">за </w:t>
      </w:r>
      <w:r w:rsidR="00F83E03" w:rsidRPr="00F31BAF">
        <w:rPr>
          <w:rFonts w:ascii="SkolaSans" w:hAnsi="SkolaSans" w:cs="TimesNewRomanPSMT"/>
        </w:rPr>
        <w:t xml:space="preserve">цените. Претпријатие или </w:t>
      </w:r>
      <w:r w:rsidR="00D76E8B" w:rsidRPr="00F31BAF">
        <w:rPr>
          <w:rFonts w:ascii="SkolaSans" w:hAnsi="SkolaSans" w:cs="TimesNewRomanPSMT"/>
        </w:rPr>
        <w:t>г</w:t>
      </w:r>
      <w:r w:rsidR="00F83E03" w:rsidRPr="00F31BAF">
        <w:rPr>
          <w:rFonts w:ascii="SkolaSans" w:hAnsi="SkolaSans" w:cs="TimesNewRomanPSMT"/>
        </w:rPr>
        <w:t>рупа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на претпријатија не мож</w:t>
      </w:r>
      <w:r w:rsidRPr="00F31BAF">
        <w:rPr>
          <w:rFonts w:ascii="SkolaSans" w:hAnsi="SkolaSans" w:cs="TimesNewRomanPSMT"/>
        </w:rPr>
        <w:t>ат</w:t>
      </w:r>
      <w:r w:rsidR="00F83E03" w:rsidRPr="00F31BAF">
        <w:rPr>
          <w:rFonts w:ascii="SkolaSans" w:hAnsi="SkolaSans" w:cs="TimesNewRomanPSMT"/>
        </w:rPr>
        <w:t xml:space="preserve"> да има</w:t>
      </w:r>
      <w:r w:rsidRPr="00F31BAF">
        <w:rPr>
          <w:rFonts w:ascii="SkolaSans" w:hAnsi="SkolaSans" w:cs="TimesNewRomanPSMT"/>
        </w:rPr>
        <w:t>ат</w:t>
      </w:r>
      <w:r w:rsidR="00F83E03" w:rsidRPr="00F31BAF">
        <w:rPr>
          <w:rFonts w:ascii="SkolaSans" w:hAnsi="SkolaSans" w:cs="TimesNewRomanPSMT"/>
        </w:rPr>
        <w:t xml:space="preserve"> значајно влијание врз преовладувачките услови за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продажба, како што се цените, доколку нивните купувачи се во состојба лесно да се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преориентираат кон расположивите заменливи стоки или кон понудувачите лоцирани на друго место. Во суштина, примената на дефиницијата на пазарот се состои од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идентификување на еф</w:t>
      </w:r>
      <w:r w:rsidRPr="00F31BAF">
        <w:rPr>
          <w:rFonts w:ascii="SkolaSans" w:hAnsi="SkolaSans" w:cs="TimesNewRomanPSMT"/>
        </w:rPr>
        <w:t xml:space="preserve">ективните </w:t>
      </w:r>
      <w:r w:rsidR="00F83E03" w:rsidRPr="00F31BAF">
        <w:rPr>
          <w:rFonts w:ascii="SkolaSans" w:hAnsi="SkolaSans" w:cs="TimesNewRomanPSMT"/>
        </w:rPr>
        <w:t xml:space="preserve">алтернативни извори на </w:t>
      </w:r>
      <w:r w:rsidRPr="00F31BAF">
        <w:rPr>
          <w:rFonts w:ascii="SkolaSans" w:hAnsi="SkolaSans" w:cs="TimesNewRomanPSMT"/>
        </w:rPr>
        <w:t xml:space="preserve">снабдување </w:t>
      </w:r>
      <w:r w:rsidR="00F83E03" w:rsidRPr="00F31BAF">
        <w:rPr>
          <w:rFonts w:ascii="SkolaSans" w:hAnsi="SkolaSans" w:cs="TimesNewRomanPSMT"/>
        </w:rPr>
        <w:t xml:space="preserve">за </w:t>
      </w:r>
      <w:r w:rsidR="005D4694" w:rsidRPr="00F31BAF">
        <w:rPr>
          <w:rFonts w:ascii="SkolaSans" w:hAnsi="SkolaSans" w:cs="TimesNewRomanPSMT"/>
        </w:rPr>
        <w:t xml:space="preserve">клиентите </w:t>
      </w:r>
      <w:r w:rsidR="00F83E03" w:rsidRPr="00F31BAF">
        <w:rPr>
          <w:rFonts w:ascii="SkolaSans" w:hAnsi="SkolaSans" w:cs="TimesNewRomanPSMT"/>
        </w:rPr>
        <w:t>на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инволвираните претпријатија, во однос на стоки/услуги и на географска локација на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понудувачите.</w:t>
      </w:r>
    </w:p>
    <w:p w:rsidR="003802A0" w:rsidRDefault="005D469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Ограничувањата на конкуренцијата кои произлегуваат од заменливоста на страната на понудат</w:t>
      </w:r>
      <w:r w:rsidR="00533F8C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, освен оние опишани </w:t>
      </w:r>
      <w:r w:rsidR="000F4744" w:rsidRPr="00F31BAF">
        <w:rPr>
          <w:rFonts w:ascii="SkolaSans" w:hAnsi="SkolaSans" w:cs="TimesNewRomanPSMT"/>
        </w:rPr>
        <w:t xml:space="preserve">во дел </w:t>
      </w:r>
      <w:r w:rsidR="000F4744" w:rsidRPr="00F31BAF">
        <w:rPr>
          <w:rFonts w:ascii="SkolaSans" w:hAnsi="SkolaSans" w:cs="TimesNewRomanPSMT"/>
          <w:lang w:val="en-US"/>
        </w:rPr>
        <w:t xml:space="preserve">II </w:t>
      </w:r>
      <w:r w:rsidR="00533F8C" w:rsidRPr="00F31BAF">
        <w:rPr>
          <w:rFonts w:ascii="SkolaSans" w:hAnsi="SkolaSans" w:cs="TimesNewRomanPSMT"/>
        </w:rPr>
        <w:t>точка 2.3 и од потенцијалната конкуренција, во принцип се помалку непосредни и во секој случај бараат да се анализираат дополни фактори. Како резултат на ова, ваквите ограничувања се земаат предвид во фазата на проценка при анализа на конкуренцијата.</w:t>
      </w:r>
    </w:p>
    <w:p w:rsidR="00F31BAF" w:rsidRPr="00F31BAF" w:rsidRDefault="00F31BAF" w:rsidP="00DE2669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</w:p>
    <w:p w:rsidR="003802A0" w:rsidRDefault="00F83E03">
      <w:pPr>
        <w:pStyle w:val="Heading3"/>
        <w:spacing w:before="0" w:after="120"/>
        <w:ind w:firstLine="426"/>
        <w:rPr>
          <w:rFonts w:ascii="SkolaSans" w:hAnsi="SkolaSans"/>
        </w:rPr>
      </w:pPr>
      <w:bookmarkStart w:id="12" w:name="_Toc292715877"/>
      <w:bookmarkStart w:id="13" w:name="_Toc292717602"/>
      <w:r w:rsidRPr="00F31BAF">
        <w:rPr>
          <w:rFonts w:ascii="SkolaSans" w:hAnsi="SkolaSans"/>
          <w:color w:val="auto"/>
        </w:rPr>
        <w:t>2.</w:t>
      </w:r>
      <w:r w:rsidR="005D4694" w:rsidRPr="00F31BAF">
        <w:rPr>
          <w:rFonts w:ascii="SkolaSans" w:hAnsi="SkolaSans"/>
          <w:color w:val="auto"/>
        </w:rPr>
        <w:t>2</w:t>
      </w:r>
      <w:r w:rsidRPr="00F31BAF">
        <w:rPr>
          <w:rFonts w:ascii="SkolaSans" w:hAnsi="SkolaSans"/>
          <w:color w:val="auto"/>
        </w:rPr>
        <w:t xml:space="preserve"> Заменливост на страна</w:t>
      </w:r>
      <w:r w:rsidR="005D4694" w:rsidRPr="00F31BAF">
        <w:rPr>
          <w:rFonts w:ascii="SkolaSans" w:hAnsi="SkolaSans"/>
          <w:color w:val="auto"/>
        </w:rPr>
        <w:t>та</w:t>
      </w:r>
      <w:r w:rsidRPr="00F31BAF">
        <w:rPr>
          <w:rFonts w:ascii="SkolaSans" w:hAnsi="SkolaSans"/>
          <w:color w:val="auto"/>
        </w:rPr>
        <w:t xml:space="preserve"> на побарувачката</w:t>
      </w:r>
      <w:bookmarkEnd w:id="12"/>
      <w:bookmarkEnd w:id="13"/>
    </w:p>
    <w:p w:rsidR="00F83E03" w:rsidRPr="00F31BAF" w:rsidRDefault="00F83E03" w:rsidP="00F31BAF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Оценката на заменливост на страна</w:t>
      </w:r>
      <w:r w:rsidR="00533F8C" w:rsidRPr="00F31BAF">
        <w:rPr>
          <w:rFonts w:ascii="SkolaSans" w:hAnsi="SkolaSans" w:cs="TimesNewRomanPSMT"/>
        </w:rPr>
        <w:t>та</w:t>
      </w:r>
      <w:r w:rsidRPr="00F31BAF">
        <w:rPr>
          <w:rFonts w:ascii="SkolaSans" w:hAnsi="SkolaSans" w:cs="TimesNewRomanPSMT"/>
        </w:rPr>
        <w:t xml:space="preserve"> на побарувачката наложува определување 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асортиман на стоки кои се сметаат за заменливи од аспект на потрошувач</w:t>
      </w:r>
      <w:r w:rsidR="00533F8C" w:rsidRPr="00F31BAF">
        <w:rPr>
          <w:rFonts w:ascii="SkolaSans" w:hAnsi="SkolaSans" w:cs="TimesNewRomanPSMT"/>
        </w:rPr>
        <w:t>от</w:t>
      </w:r>
      <w:r w:rsidRPr="00F31BAF">
        <w:rPr>
          <w:rFonts w:ascii="SkolaSans" w:hAnsi="SkolaSans" w:cs="TimesNewRomanPSMT"/>
        </w:rPr>
        <w:t>. Еден од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начините за да се утврди ова е да се направи експеримент, односно да се изврши проценка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на веројатната реакција на потрошувачите во случај на </w:t>
      </w:r>
      <w:r w:rsidR="00226740" w:rsidRPr="00F31BAF">
        <w:rPr>
          <w:rFonts w:ascii="SkolaSans" w:hAnsi="SkolaSans" w:cs="TimesNewRomanPSMT"/>
        </w:rPr>
        <w:t xml:space="preserve">претпоставена </w:t>
      </w:r>
      <w:r w:rsidRPr="00F31BAF">
        <w:rPr>
          <w:rFonts w:ascii="SkolaSans" w:hAnsi="SkolaSans" w:cs="TimesNewRomanPSMT"/>
        </w:rPr>
        <w:t>мала</w:t>
      </w:r>
      <w:r w:rsidR="00D76E8B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но трајна промена во цените.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При дефинирањето на пазарот </w:t>
      </w:r>
      <w:r w:rsidR="00AB48C0" w:rsidRPr="00F31BAF">
        <w:rPr>
          <w:rFonts w:ascii="SkolaSans" w:hAnsi="SkolaSans" w:cs="TimesNewRomanPSMT"/>
        </w:rPr>
        <w:t xml:space="preserve">се става </w:t>
      </w:r>
      <w:r w:rsidRPr="00F31BAF">
        <w:rPr>
          <w:rFonts w:ascii="SkolaSans" w:hAnsi="SkolaSans" w:cs="TimesNewRomanPSMT"/>
        </w:rPr>
        <w:t xml:space="preserve">акцент </w:t>
      </w:r>
      <w:r w:rsidR="00AB48C0" w:rsidRPr="00F31BAF">
        <w:rPr>
          <w:rFonts w:ascii="SkolaSans" w:hAnsi="SkolaSans" w:cs="TimesNewRomanPSMT"/>
        </w:rPr>
        <w:t>ц</w:t>
      </w:r>
      <w:r w:rsidRPr="00F31BAF">
        <w:rPr>
          <w:rFonts w:ascii="SkolaSans" w:hAnsi="SkolaSans" w:cs="TimesNewRomanPSMT"/>
        </w:rPr>
        <w:t>ените од оперативни и практични цели,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 попрецизно на заменливоста на страна</w:t>
      </w:r>
      <w:r w:rsidR="00AB48C0" w:rsidRPr="00F31BAF">
        <w:rPr>
          <w:rFonts w:ascii="SkolaSans" w:hAnsi="SkolaSans" w:cs="TimesNewRomanPSMT"/>
        </w:rPr>
        <w:t>та</w:t>
      </w:r>
      <w:r w:rsidRPr="00F31BAF">
        <w:rPr>
          <w:rFonts w:ascii="SkolaSans" w:hAnsi="SkolaSans" w:cs="TimesNewRomanPSMT"/>
        </w:rPr>
        <w:t xml:space="preserve"> на побарувачката која произлегува од мали</w:t>
      </w:r>
      <w:r w:rsidR="00D76E8B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но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трајни промени во цените.</w:t>
      </w:r>
      <w:r w:rsidR="00AB48C0" w:rsidRPr="00F31BAF">
        <w:rPr>
          <w:rFonts w:ascii="SkolaSans" w:hAnsi="SkolaSans" w:cs="TimesNewRomanPSMT"/>
        </w:rPr>
        <w:t xml:space="preserve"> Овој концепт може да понуди јасни индикации за доказите кои се од важност при дефинирање на пазарите.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Концептуално, овој пристап значи дека, започнувајќи од видот на стоките кои ги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продаваат засегнатите претпријатија и територијата </w:t>
      </w:r>
      <w:r w:rsidR="00FF0E55" w:rsidRPr="00F31BAF">
        <w:rPr>
          <w:rFonts w:ascii="SkolaSans" w:hAnsi="SkolaSans" w:cs="TimesNewRomanPSMT"/>
        </w:rPr>
        <w:t xml:space="preserve">на </w:t>
      </w:r>
      <w:r w:rsidRPr="00F31BAF">
        <w:rPr>
          <w:rFonts w:ascii="SkolaSans" w:hAnsi="SkolaSans" w:cs="TimesNewRomanPSMT"/>
        </w:rPr>
        <w:t xml:space="preserve">која тие </w:t>
      </w:r>
      <w:r w:rsidR="00FF0E55" w:rsidRPr="00F31BAF">
        <w:rPr>
          <w:rFonts w:ascii="SkolaSans" w:hAnsi="SkolaSans" w:cs="TimesNewRomanPSMT"/>
        </w:rPr>
        <w:t xml:space="preserve">ги </w:t>
      </w:r>
      <w:r w:rsidRPr="00F31BAF">
        <w:rPr>
          <w:rFonts w:ascii="SkolaSans" w:hAnsi="SkolaSans" w:cs="TimesNewRomanPSMT"/>
        </w:rPr>
        <w:t>продаваат,</w:t>
      </w:r>
      <w:r w:rsidR="00C45810" w:rsidRPr="00F31BAF">
        <w:rPr>
          <w:rFonts w:ascii="SkolaSans" w:hAnsi="SkolaSans" w:cs="TimesNewRomanPSMT"/>
        </w:rPr>
        <w:t xml:space="preserve"> </w:t>
      </w:r>
      <w:r w:rsidR="00FF0E55" w:rsidRPr="00F31BAF">
        <w:rPr>
          <w:rFonts w:ascii="SkolaSans" w:hAnsi="SkolaSans" w:cs="TimesNewRomanPSMT"/>
        </w:rPr>
        <w:t xml:space="preserve">во дефиницијата на пазарот ќе бидат вклучени или исклучени </w:t>
      </w:r>
      <w:r w:rsidRPr="00F31BAF">
        <w:rPr>
          <w:rFonts w:ascii="SkolaSans" w:hAnsi="SkolaSans" w:cs="TimesNewRomanPSMT"/>
        </w:rPr>
        <w:lastRenderedPageBreak/>
        <w:t xml:space="preserve">дополнителни стоки и територии во зависност од тоа дали конкуренцијата од овие други стоки и територии </w:t>
      </w:r>
      <w:r w:rsidR="00C45810" w:rsidRPr="00F31BAF">
        <w:rPr>
          <w:rFonts w:ascii="SkolaSans" w:hAnsi="SkolaSans" w:cs="TimesNewRomanPSMT"/>
        </w:rPr>
        <w:t>в</w:t>
      </w:r>
      <w:r w:rsidRPr="00F31BAF">
        <w:rPr>
          <w:rFonts w:ascii="SkolaSans" w:hAnsi="SkolaSans" w:cs="TimesNewRomanPSMT"/>
        </w:rPr>
        <w:t>лијае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или значително ги ограничува цените на стоките на засегнатите претпријатија на краток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рок.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Прашање на кое треба да се даде одговор е дали к</w:t>
      </w:r>
      <w:r w:rsidR="00FF0E55" w:rsidRPr="00F31BAF">
        <w:rPr>
          <w:rFonts w:ascii="SkolaSans" w:hAnsi="SkolaSans" w:cs="TimesNewRomanPSMT"/>
        </w:rPr>
        <w:t xml:space="preserve">лиентите </w:t>
      </w:r>
      <w:r w:rsidRPr="00F31BAF">
        <w:rPr>
          <w:rFonts w:ascii="SkolaSans" w:hAnsi="SkolaSans" w:cs="TimesNewRomanPSMT"/>
        </w:rPr>
        <w:t>на засегнатите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претпријатија ќе се преориентираат на веќе достапни располож</w:t>
      </w:r>
      <w:r w:rsidR="00190871" w:rsidRPr="00F31BAF">
        <w:rPr>
          <w:rFonts w:ascii="SkolaSans" w:hAnsi="SkolaSans" w:cs="TimesNewRomanPSMT"/>
        </w:rPr>
        <w:t>л</w:t>
      </w:r>
      <w:r w:rsidRPr="00F31BAF">
        <w:rPr>
          <w:rFonts w:ascii="SkolaSans" w:hAnsi="SkolaSans" w:cs="TimesNewRomanPSMT"/>
        </w:rPr>
        <w:t xml:space="preserve">иви супститути </w:t>
      </w:r>
      <w:r w:rsidR="00FF0E55" w:rsidRPr="00F31BAF">
        <w:rPr>
          <w:rFonts w:ascii="SkolaSans" w:hAnsi="SkolaSans" w:cs="TimesNewRomanPSMT"/>
        </w:rPr>
        <w:t xml:space="preserve">(замени) </w:t>
      </w:r>
      <w:r w:rsidRPr="00F31BAF">
        <w:rPr>
          <w:rFonts w:ascii="SkolaSans" w:hAnsi="SkolaSans" w:cs="TimesNewRomanPSMT"/>
        </w:rPr>
        <w:t>или 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понудувачи лоцирани на друга територија како одговор на хипотетички мало (</w:t>
      </w:r>
      <w:r w:rsidR="00FF0E55" w:rsidRPr="00F31BAF">
        <w:rPr>
          <w:rFonts w:ascii="SkolaSans" w:hAnsi="SkolaSans" w:cs="TimesNewRomanPSMT"/>
        </w:rPr>
        <w:t xml:space="preserve">од </w:t>
      </w:r>
      <w:r w:rsidRPr="00F31BAF">
        <w:rPr>
          <w:rFonts w:ascii="SkolaSans" w:hAnsi="SkolaSans" w:cs="TimesNewRomanPSMT"/>
        </w:rPr>
        <w:t>5% до 10%)</w:t>
      </w:r>
      <w:r w:rsidR="00190871" w:rsidRPr="00F31BAF">
        <w:rPr>
          <w:rFonts w:ascii="SkolaSans" w:hAnsi="SkolaSans" w:cs="TimesNewRomanPSMT"/>
        </w:rPr>
        <w:t>,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но трајно зголемување на цените на стоките и </w:t>
      </w:r>
      <w:r w:rsidR="00FF0E55" w:rsidRPr="00F31BAF">
        <w:rPr>
          <w:rFonts w:ascii="SkolaSans" w:hAnsi="SkolaSans" w:cs="TimesNewRomanPSMT"/>
        </w:rPr>
        <w:t xml:space="preserve">на </w:t>
      </w:r>
      <w:r w:rsidRPr="00F31BAF">
        <w:rPr>
          <w:rFonts w:ascii="SkolaSans" w:hAnsi="SkolaSans" w:cs="TimesNewRomanPSMT"/>
        </w:rPr>
        <w:t>териториите кои се засегнати. Доколку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супституцијата </w:t>
      </w:r>
      <w:r w:rsidR="00FF0E55" w:rsidRPr="00F31BAF">
        <w:rPr>
          <w:rFonts w:ascii="SkolaSans" w:hAnsi="SkolaSans" w:cs="TimesNewRomanPSMT"/>
        </w:rPr>
        <w:t xml:space="preserve">(замената) </w:t>
      </w:r>
      <w:r w:rsidRPr="00F31BAF">
        <w:rPr>
          <w:rFonts w:ascii="SkolaSans" w:hAnsi="SkolaSans" w:cs="TimesNewRomanPSMT"/>
        </w:rPr>
        <w:t>е доволна да го направи зголемувањето на цените</w:t>
      </w:r>
      <w:r w:rsidR="00FF0E55" w:rsidRPr="00F31BAF">
        <w:rPr>
          <w:rFonts w:ascii="SkolaSans" w:hAnsi="SkolaSans" w:cs="TimesNewRomanPSMT"/>
        </w:rPr>
        <w:t xml:space="preserve"> непрофитабилно</w:t>
      </w:r>
      <w:r w:rsidRPr="00F31BAF">
        <w:rPr>
          <w:rFonts w:ascii="SkolaSans" w:hAnsi="SkolaSans" w:cs="TimesNewRomanPSMT"/>
        </w:rPr>
        <w:t xml:space="preserve"> како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резултат на загубите во продажбите, </w:t>
      </w:r>
      <w:r w:rsidR="00FF0E55" w:rsidRPr="00F31BAF">
        <w:rPr>
          <w:rFonts w:ascii="SkolaSans" w:hAnsi="SkolaSans" w:cs="TimesNewRomanPSMT"/>
        </w:rPr>
        <w:t xml:space="preserve">во релевантниот пазар се вклучуваат </w:t>
      </w:r>
      <w:r w:rsidRPr="00F31BAF">
        <w:rPr>
          <w:rFonts w:ascii="SkolaSans" w:hAnsi="SkolaSans" w:cs="TimesNewRomanPSMT"/>
        </w:rPr>
        <w:t xml:space="preserve">дополнителни супститути и територии. Ова ќе се </w:t>
      </w:r>
      <w:r w:rsidR="00393E2D" w:rsidRPr="00F31BAF">
        <w:rPr>
          <w:rFonts w:ascii="SkolaSans" w:hAnsi="SkolaSans" w:cs="TimesNewRomanPSMT"/>
        </w:rPr>
        <w:t xml:space="preserve">прави </w:t>
      </w:r>
      <w:r w:rsidRPr="00F31BAF">
        <w:rPr>
          <w:rFonts w:ascii="SkolaSans" w:hAnsi="SkolaSans" w:cs="TimesNewRomanPSMT"/>
        </w:rPr>
        <w:t>се додека сетот на стоки и географски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територии </w:t>
      </w:r>
      <w:r w:rsidR="00393E2D" w:rsidRPr="00F31BAF">
        <w:rPr>
          <w:rFonts w:ascii="SkolaSans" w:hAnsi="SkolaSans" w:cs="TimesNewRomanPSMT"/>
        </w:rPr>
        <w:t xml:space="preserve">е таков при што мали, трајни зголемувања на цената ќе бидат </w:t>
      </w:r>
      <w:r w:rsidRPr="00F31BAF">
        <w:rPr>
          <w:rFonts w:ascii="SkolaSans" w:hAnsi="SkolaSans" w:cs="TimesNewRomanPSMT"/>
        </w:rPr>
        <w:t>профитабилн</w:t>
      </w:r>
      <w:r w:rsidR="00393E2D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. </w:t>
      </w:r>
      <w:r w:rsidR="00393E2D" w:rsidRPr="00F31BAF">
        <w:rPr>
          <w:rFonts w:ascii="SkolaSans" w:hAnsi="SkolaSans" w:cs="TimesNewRomanPSMT"/>
        </w:rPr>
        <w:t xml:space="preserve">Истата </w:t>
      </w:r>
      <w:r w:rsidRPr="00F31BAF">
        <w:rPr>
          <w:rFonts w:ascii="SkolaSans" w:hAnsi="SkolaSans" w:cs="TimesNewRomanPSMT"/>
        </w:rPr>
        <w:t>анализ</w:t>
      </w:r>
      <w:r w:rsidR="00393E2D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применлив</w:t>
      </w:r>
      <w:r w:rsidR="00393E2D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во случаите </w:t>
      </w:r>
      <w:r w:rsidR="00393E2D" w:rsidRPr="00F31BAF">
        <w:rPr>
          <w:rFonts w:ascii="SkolaSans" w:hAnsi="SkolaSans" w:cs="TimesNewRomanPSMT"/>
        </w:rPr>
        <w:t xml:space="preserve">на </w:t>
      </w:r>
      <w:r w:rsidRPr="00F31BAF">
        <w:rPr>
          <w:rFonts w:ascii="SkolaSans" w:hAnsi="SkolaSans" w:cs="TimesNewRomanPSMT"/>
        </w:rPr>
        <w:t>концентрација на куповната моќ, каде што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стартна позиција ќе биде тестирањето на понудувачите и ценовниот тест </w:t>
      </w:r>
      <w:r w:rsidR="00393E2D" w:rsidRPr="00F31BAF">
        <w:rPr>
          <w:rFonts w:ascii="SkolaSans" w:hAnsi="SkolaSans" w:cs="TimesNewRomanPSMT"/>
        </w:rPr>
        <w:t xml:space="preserve">што </w:t>
      </w:r>
      <w:r w:rsidRPr="00F31BAF">
        <w:rPr>
          <w:rFonts w:ascii="SkolaSans" w:hAnsi="SkolaSans" w:cs="TimesNewRomanPSMT"/>
        </w:rPr>
        <w:t>овозможува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идентификување на алтернативните дистрибутивни канали </w:t>
      </w:r>
      <w:r w:rsidR="004F40A4" w:rsidRPr="00F31BAF">
        <w:rPr>
          <w:rFonts w:ascii="SkolaSans" w:hAnsi="SkolaSans" w:cs="TimesNewRomanPSMT"/>
        </w:rPr>
        <w:t xml:space="preserve">или продавници </w:t>
      </w:r>
      <w:r w:rsidRPr="00F31BAF">
        <w:rPr>
          <w:rFonts w:ascii="SkolaSans" w:hAnsi="SkolaSans" w:cs="TimesNewRomanPSMT"/>
        </w:rPr>
        <w:t>за стоките на понудувачите.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Во примената на овие принципи, треба да се води </w:t>
      </w:r>
      <w:r w:rsidR="004F40A4" w:rsidRPr="00F31BAF">
        <w:rPr>
          <w:rFonts w:ascii="SkolaSans" w:hAnsi="SkolaSans" w:cs="TimesNewRomanPSMT"/>
        </w:rPr>
        <w:t xml:space="preserve">грижлива сметка </w:t>
      </w:r>
      <w:r w:rsidRPr="00F31BAF">
        <w:rPr>
          <w:rFonts w:ascii="SkolaSans" w:hAnsi="SkolaSans" w:cs="TimesNewRomanPSMT"/>
        </w:rPr>
        <w:t>за одредени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специфични ситуации кои се опишани во делот V.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Практичен пример на овој тест може да се обезбеди преку неговата примена на</w:t>
      </w:r>
      <w:r w:rsidR="00C45810" w:rsidRPr="00F31BAF">
        <w:rPr>
          <w:rFonts w:ascii="SkolaSans" w:hAnsi="SkolaSans" w:cs="TimesNewRomanPSMT"/>
        </w:rPr>
        <w:t xml:space="preserve"> </w:t>
      </w:r>
      <w:r w:rsidR="004F40A4" w:rsidRPr="00F31BAF">
        <w:rPr>
          <w:rFonts w:ascii="SkolaSans" w:hAnsi="SkolaSans" w:cs="TimesNewRomanPSMT"/>
        </w:rPr>
        <w:t>концентрација,</w:t>
      </w:r>
      <w:r w:rsidRPr="00F31BAF">
        <w:rPr>
          <w:rFonts w:ascii="SkolaSans" w:hAnsi="SkolaSans" w:cs="TimesNewRomanPSMT"/>
        </w:rPr>
        <w:t xml:space="preserve"> на пример на </w:t>
      </w:r>
      <w:r w:rsidR="00345E05" w:rsidRPr="00F31BAF">
        <w:rPr>
          <w:rFonts w:ascii="SkolaSans" w:hAnsi="SkolaSans" w:cs="TimesNewRomanPSMT"/>
        </w:rPr>
        <w:t xml:space="preserve">флаширање на безалкохолни пијалоци </w:t>
      </w:r>
      <w:r w:rsidRPr="00F31BAF">
        <w:rPr>
          <w:rFonts w:ascii="SkolaSans" w:hAnsi="SkolaSans" w:cs="TimesNewRomanPSMT"/>
        </w:rPr>
        <w:t>. Прашање кое</w:t>
      </w:r>
      <w:r w:rsidR="00345E05" w:rsidRPr="00F31BAF">
        <w:rPr>
          <w:rFonts w:ascii="SkolaSans" w:hAnsi="SkolaSans" w:cs="TimesNewRomanPSMT"/>
        </w:rPr>
        <w:t xml:space="preserve"> треба да се </w:t>
      </w:r>
      <w:r w:rsidRPr="00F31BAF">
        <w:rPr>
          <w:rFonts w:ascii="SkolaSans" w:hAnsi="SkolaSans" w:cs="TimesNewRomanPSMT"/>
        </w:rPr>
        <w:t>испит</w:t>
      </w:r>
      <w:r w:rsidR="00345E05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во таков случај </w:t>
      </w:r>
      <w:r w:rsidR="00345E05" w:rsidRPr="00F31BAF">
        <w:rPr>
          <w:rFonts w:ascii="SkolaSans" w:hAnsi="SkolaSans" w:cs="TimesNewRomanPSMT"/>
        </w:rPr>
        <w:t xml:space="preserve">е </w:t>
      </w:r>
      <w:r w:rsidRPr="00F31BAF">
        <w:rPr>
          <w:rFonts w:ascii="SkolaSans" w:hAnsi="SkolaSans" w:cs="TimesNewRomanPSMT"/>
        </w:rPr>
        <w:t>дали различните вкусови на безалкохолните пијалоци припаѓаат на ист пазар.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Во пракса, прашањето </w:t>
      </w:r>
      <w:r w:rsidR="005149DF" w:rsidRPr="00F31BAF">
        <w:rPr>
          <w:rFonts w:ascii="SkolaSans" w:hAnsi="SkolaSans" w:cs="TimesNewRomanPSMT"/>
        </w:rPr>
        <w:t>кое треба да се одговори</w:t>
      </w:r>
      <w:r w:rsidRPr="00F31BAF">
        <w:rPr>
          <w:rFonts w:ascii="SkolaSans" w:hAnsi="SkolaSans" w:cs="TimesNewRomanPSMT"/>
        </w:rPr>
        <w:t xml:space="preserve"> ќе биде дали потрошувачите на вкусот А би се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преориентирале кон други вкусови кога се соочени со трајно зголемување на цените </w:t>
      </w:r>
      <w:r w:rsidR="005149DF" w:rsidRPr="00F31BAF">
        <w:rPr>
          <w:rFonts w:ascii="SkolaSans" w:hAnsi="SkolaSans" w:cs="TimesNewRomanPSMT"/>
        </w:rPr>
        <w:t xml:space="preserve">на вкусот А </w:t>
      </w:r>
      <w:r w:rsidRPr="00F31BAF">
        <w:rPr>
          <w:rFonts w:ascii="SkolaSans" w:hAnsi="SkolaSans" w:cs="TimesNewRomanPSMT"/>
        </w:rPr>
        <w:t>од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5% до 10%. Доколку доволен број на потрошувачи се преориентираат кон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вкусот Б</w:t>
      </w:r>
      <w:r w:rsidR="005149DF" w:rsidRPr="00F31BAF">
        <w:rPr>
          <w:rFonts w:ascii="SkolaSans" w:hAnsi="SkolaSans" w:cs="TimesNewRomanPSMT"/>
        </w:rPr>
        <w:t xml:space="preserve"> на пример</w:t>
      </w:r>
      <w:r w:rsidRPr="00F31BAF">
        <w:rPr>
          <w:rFonts w:ascii="SkolaSans" w:hAnsi="SkolaSans" w:cs="TimesNewRomanPSMT"/>
        </w:rPr>
        <w:t xml:space="preserve"> до таков обем кој би довел до тоа зголемувањето на цената на вкусот А да не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биде профитабилно како резултат на загубите во продажбите, тогаш пазарот ќе ги опфати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најмалку вкусовите А и Б. Процесот ќе мора да биде дополнително проширен и на други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располож</w:t>
      </w:r>
      <w:r w:rsidR="00190871" w:rsidRPr="00F31BAF">
        <w:rPr>
          <w:rFonts w:ascii="SkolaSans" w:hAnsi="SkolaSans" w:cs="TimesNewRomanPSMT"/>
        </w:rPr>
        <w:t>л</w:t>
      </w:r>
      <w:r w:rsidRPr="00F31BAF">
        <w:rPr>
          <w:rFonts w:ascii="SkolaSans" w:hAnsi="SkolaSans" w:cs="TimesNewRomanPSMT"/>
        </w:rPr>
        <w:t>иви вкусови се додека се идентификува сетот на стоки за кои зголемувањето 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цената нема да предизвика доволна супституција во побарувачката.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Генерално, а особено за анализите на случаите на концентрации, цената која ќе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треба да се земе во предвид ќе биде преовладувачката пазарна цена. Ова може да не биде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случај кога преовладувачката цена била </w:t>
      </w:r>
      <w:r w:rsidR="002D5BA9" w:rsidRPr="00F31BAF">
        <w:rPr>
          <w:rFonts w:ascii="SkolaSans" w:hAnsi="SkolaSans" w:cs="TimesNewRomanPSMT"/>
        </w:rPr>
        <w:t xml:space="preserve">определена </w:t>
      </w:r>
      <w:r w:rsidRPr="00F31BAF">
        <w:rPr>
          <w:rFonts w:ascii="SkolaSans" w:hAnsi="SkolaSans" w:cs="TimesNewRomanPSMT"/>
        </w:rPr>
        <w:t>во отсуство на доволна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конкуренција. Особено за истражувањето на злоупотребите на доминантни позиции, ќе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биде земен во предвид фактот дека преовладувачката цена може</w:t>
      </w:r>
      <w:r w:rsidR="002D5BA9" w:rsidRPr="00F31BAF">
        <w:rPr>
          <w:rFonts w:ascii="SkolaSans" w:hAnsi="SkolaSans" w:cs="TimesNewRomanPSMT"/>
        </w:rPr>
        <w:t>би</w:t>
      </w:r>
      <w:r w:rsidRPr="00F31BAF">
        <w:rPr>
          <w:rFonts w:ascii="SkolaSans" w:hAnsi="SkolaSans" w:cs="TimesNewRomanPSMT"/>
        </w:rPr>
        <w:t xml:space="preserve"> веќе била </w:t>
      </w:r>
      <w:r w:rsidR="002D5BA9" w:rsidRPr="00F31BAF">
        <w:rPr>
          <w:rFonts w:ascii="SkolaSans" w:hAnsi="SkolaSans" w:cs="TimesNewRomanPSMT"/>
        </w:rPr>
        <w:t xml:space="preserve">значително </w:t>
      </w:r>
      <w:r w:rsidRPr="00F31BAF">
        <w:rPr>
          <w:rFonts w:ascii="SkolaSans" w:hAnsi="SkolaSans" w:cs="TimesNewRomanPSMT"/>
        </w:rPr>
        <w:t>зголемена.</w:t>
      </w:r>
    </w:p>
    <w:p w:rsidR="002765C9" w:rsidRDefault="002765C9" w:rsidP="00E03F7F">
      <w:pPr>
        <w:pStyle w:val="Heading3"/>
        <w:spacing w:before="0" w:after="120"/>
        <w:ind w:firstLine="426"/>
        <w:rPr>
          <w:rFonts w:ascii="SkolaSans" w:hAnsi="SkolaSans"/>
          <w:color w:val="auto"/>
        </w:rPr>
      </w:pPr>
    </w:p>
    <w:p w:rsidR="003802A0" w:rsidRDefault="00F83E03">
      <w:pPr>
        <w:pStyle w:val="Heading3"/>
        <w:spacing w:before="0" w:after="120"/>
        <w:ind w:firstLine="426"/>
        <w:rPr>
          <w:rFonts w:ascii="SkolaSans" w:hAnsi="SkolaSans"/>
        </w:rPr>
      </w:pPr>
      <w:bookmarkStart w:id="14" w:name="_Toc292717603"/>
      <w:r w:rsidRPr="00F31BAF">
        <w:rPr>
          <w:rFonts w:ascii="SkolaSans" w:hAnsi="SkolaSans"/>
          <w:color w:val="auto"/>
        </w:rPr>
        <w:t>2.</w:t>
      </w:r>
      <w:r w:rsidR="005D4694" w:rsidRPr="00F31BAF">
        <w:rPr>
          <w:rFonts w:ascii="SkolaSans" w:hAnsi="SkolaSans"/>
          <w:color w:val="auto"/>
        </w:rPr>
        <w:t>3</w:t>
      </w:r>
      <w:r w:rsidRPr="00F31BAF">
        <w:rPr>
          <w:rFonts w:ascii="SkolaSans" w:hAnsi="SkolaSans"/>
          <w:color w:val="auto"/>
        </w:rPr>
        <w:t xml:space="preserve"> Заменливост на страната на понудата</w:t>
      </w:r>
      <w:bookmarkEnd w:id="14"/>
    </w:p>
    <w:p w:rsidR="003802A0" w:rsidRDefault="000F474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Заменливоста </w:t>
      </w:r>
      <w:r w:rsidR="00F83E03" w:rsidRPr="00F31BAF">
        <w:rPr>
          <w:rFonts w:ascii="SkolaSans" w:hAnsi="SkolaSans" w:cs="TimesNewRomanPSMT"/>
        </w:rPr>
        <w:t>на страната на понудата може исто така да биде земена во предвид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при дефинирање на пазарите во оние ситуации во кои нејзините ефекти се еквивалентни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на ефектите на супституцијата на страната на побарувачката во смисла на еф</w:t>
      </w:r>
      <w:r w:rsidRPr="00F31BAF">
        <w:rPr>
          <w:rFonts w:ascii="SkolaSans" w:hAnsi="SkolaSans" w:cs="TimesNewRomanPSMT"/>
        </w:rPr>
        <w:t>ективност</w:t>
      </w:r>
      <w:r w:rsidR="00F83E03" w:rsidRPr="00F31BAF">
        <w:rPr>
          <w:rFonts w:ascii="SkolaSans" w:hAnsi="SkolaSans" w:cs="TimesNewRomanPSMT"/>
        </w:rPr>
        <w:t xml:space="preserve"> и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непосредност. Ова значи дека понудувачите се способни да го преориентираат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производството на релевантните стоки и истите да ги пласираат на пазарот на кус рок</w:t>
      </w:r>
      <w:r w:rsidRPr="00F31BAF">
        <w:rPr>
          <w:rStyle w:val="FootnoteReference"/>
          <w:rFonts w:ascii="SkolaSans" w:hAnsi="SkolaSans" w:cs="TimesNewRomanPSMT"/>
        </w:rPr>
        <w:footnoteReference w:id="4"/>
      </w:r>
      <w:r w:rsidR="00F83E03" w:rsidRPr="00F31BAF">
        <w:rPr>
          <w:rFonts w:ascii="SkolaSans" w:hAnsi="SkolaSans" w:cs="TimesNewRomanPSMT"/>
        </w:rPr>
        <w:t xml:space="preserve"> без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lastRenderedPageBreak/>
        <w:t xml:space="preserve">притоа да имаат значителни дополнителни трошоци или ризици </w:t>
      </w:r>
      <w:r w:rsidRPr="00F31BAF">
        <w:rPr>
          <w:rFonts w:ascii="SkolaSans" w:hAnsi="SkolaSans" w:cs="TimesNewRomanPSMT"/>
        </w:rPr>
        <w:t>при</w:t>
      </w:r>
      <w:r w:rsidR="00F83E03" w:rsidRPr="00F31BAF">
        <w:rPr>
          <w:rFonts w:ascii="SkolaSans" w:hAnsi="SkolaSans" w:cs="TimesNewRomanPSMT"/>
        </w:rPr>
        <w:t xml:space="preserve"> мали и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трајни промени во цените. Кога овие услови се исполнети, дополнителното производство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кое се пласира на пазарот ќе има </w:t>
      </w:r>
      <w:r w:rsidR="000C53D8" w:rsidRPr="00F31BAF">
        <w:rPr>
          <w:rFonts w:ascii="SkolaSans" w:hAnsi="SkolaSans" w:cs="TimesNewRomanPSMT"/>
        </w:rPr>
        <w:t>дисциплински</w:t>
      </w:r>
      <w:r w:rsidR="00F83E03" w:rsidRPr="00F31BAF">
        <w:rPr>
          <w:rFonts w:ascii="SkolaSans" w:hAnsi="SkolaSans" w:cs="TimesNewRomanPSMT"/>
        </w:rPr>
        <w:t xml:space="preserve"> ефект врз конкурентското однесување на</w:t>
      </w:r>
      <w:r w:rsidR="00C4581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засегнатите претпријатија. </w:t>
      </w:r>
      <w:r w:rsidR="008B7AC0" w:rsidRPr="00F31BAF">
        <w:rPr>
          <w:rFonts w:ascii="SkolaSans" w:hAnsi="SkolaSans" w:cs="TimesNewRomanPSMT"/>
        </w:rPr>
        <w:t xml:space="preserve">Ова </w:t>
      </w:r>
      <w:r w:rsidR="00F83E03" w:rsidRPr="00F31BAF">
        <w:rPr>
          <w:rFonts w:ascii="SkolaSans" w:hAnsi="SkolaSans" w:cs="TimesNewRomanPSMT"/>
        </w:rPr>
        <w:t>влијание во смисла на еф</w:t>
      </w:r>
      <w:r w:rsidR="008B7AC0" w:rsidRPr="00F31BAF">
        <w:rPr>
          <w:rFonts w:ascii="SkolaSans" w:hAnsi="SkolaSans" w:cs="TimesNewRomanPSMT"/>
        </w:rPr>
        <w:t>ективност</w:t>
      </w:r>
      <w:r w:rsidR="00F83E03" w:rsidRPr="00F31BAF">
        <w:rPr>
          <w:rFonts w:ascii="SkolaSans" w:hAnsi="SkolaSans" w:cs="TimesNewRomanPSMT"/>
        </w:rPr>
        <w:t xml:space="preserve"> и непосредност е</w:t>
      </w:r>
      <w:r w:rsidR="00C45810" w:rsidRPr="00F31BAF">
        <w:rPr>
          <w:rFonts w:ascii="SkolaSans" w:hAnsi="SkolaSans" w:cs="TimesNewRomanPSMT"/>
        </w:rPr>
        <w:t xml:space="preserve"> </w:t>
      </w:r>
      <w:r w:rsidR="008B7AC0" w:rsidRPr="00F31BAF">
        <w:rPr>
          <w:rFonts w:ascii="SkolaSans" w:hAnsi="SkolaSans" w:cs="TimesNewRomanPSMT"/>
        </w:rPr>
        <w:t xml:space="preserve">еднакво </w:t>
      </w:r>
      <w:r w:rsidR="00F83E03" w:rsidRPr="00F31BAF">
        <w:rPr>
          <w:rFonts w:ascii="SkolaSans" w:hAnsi="SkolaSans" w:cs="TimesNewRomanPSMT"/>
        </w:rPr>
        <w:t xml:space="preserve">на ефектот од </w:t>
      </w:r>
      <w:r w:rsidR="008B7AC0" w:rsidRPr="00F31BAF">
        <w:rPr>
          <w:rFonts w:ascii="SkolaSans" w:hAnsi="SkolaSans" w:cs="TimesNewRomanPSMT"/>
        </w:rPr>
        <w:t xml:space="preserve">заменливост </w:t>
      </w:r>
      <w:r w:rsidR="00F83E03" w:rsidRPr="00F31BAF">
        <w:rPr>
          <w:rFonts w:ascii="SkolaSans" w:hAnsi="SkolaSans" w:cs="TimesNewRomanPSMT"/>
        </w:rPr>
        <w:t>на страната на побарувачката.</w:t>
      </w:r>
      <w:r w:rsidR="00C45810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Овие ситуации типично се јавуваат кога претпријатијата пласираат широк</w:t>
      </w:r>
      <w:r w:rsidR="00C45810" w:rsidRPr="00F31BAF">
        <w:rPr>
          <w:rFonts w:ascii="SkolaSans" w:hAnsi="SkolaSans" w:cs="TimesNewRomanPSMT"/>
        </w:rPr>
        <w:t xml:space="preserve">  </w:t>
      </w:r>
      <w:r w:rsidRPr="00F31BAF">
        <w:rPr>
          <w:rFonts w:ascii="SkolaSans" w:hAnsi="SkolaSans" w:cs="TimesNewRomanPSMT"/>
        </w:rPr>
        <w:t>асортиман во поглед на квалитетот и карактеристиките на еден ист производ; дури и кога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 даден краен купувач или група на потрошувачи, различните квалитети не се заменливи,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различните квалитети ќе бидат групирани во еден пазар на стоки, доколку најголемиот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број на понудувачи се во можност веднаш да понудат и продадат такви различни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квалитети и без значајни зголемувања на трошоците опишани погоре.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Во такви случаи, релевантниот пазар на стоки ќе ги опфати сите стоки кои се заменливи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во однос на побарувачката и понудата, и тековните продажби на тие стоки ќе бидат</w:t>
      </w:r>
      <w:r w:rsidR="00C45810" w:rsidRPr="00F31BAF">
        <w:rPr>
          <w:rFonts w:ascii="SkolaSans" w:hAnsi="SkolaSans" w:cs="TimesNewRomanPSMT"/>
        </w:rPr>
        <w:t xml:space="preserve"> </w:t>
      </w:r>
      <w:r w:rsidR="00FD6D7C" w:rsidRPr="00F31BAF">
        <w:rPr>
          <w:rFonts w:ascii="SkolaSans" w:hAnsi="SkolaSans" w:cs="TimesNewRomanPSMT"/>
        </w:rPr>
        <w:t xml:space="preserve">додадени </w:t>
      </w:r>
      <w:r w:rsidRPr="00F31BAF">
        <w:rPr>
          <w:rFonts w:ascii="SkolaSans" w:hAnsi="SkolaSans" w:cs="TimesNewRomanPSMT"/>
        </w:rPr>
        <w:t xml:space="preserve">со цел да ја дадат вкупна вредност или </w:t>
      </w:r>
      <w:r w:rsidR="00FD6D7C" w:rsidRPr="00F31BAF">
        <w:rPr>
          <w:rFonts w:ascii="SkolaSans" w:hAnsi="SkolaSans" w:cs="TimesNewRomanPSMT"/>
        </w:rPr>
        <w:t>големина</w:t>
      </w:r>
      <w:r w:rsidRPr="00F31BAF">
        <w:rPr>
          <w:rFonts w:ascii="SkolaSans" w:hAnsi="SkolaSans" w:cs="TimesNewRomanPSMT"/>
        </w:rPr>
        <w:t xml:space="preserve"> на пазарот. Истото резонирање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може да води кон груп</w:t>
      </w:r>
      <w:r w:rsidR="00FD6D7C" w:rsidRPr="00F31BAF">
        <w:rPr>
          <w:rFonts w:ascii="SkolaSans" w:hAnsi="SkolaSans" w:cs="TimesNewRomanPSMT"/>
        </w:rPr>
        <w:t xml:space="preserve">ирање </w:t>
      </w:r>
      <w:r w:rsidRPr="00F31BAF">
        <w:rPr>
          <w:rFonts w:ascii="SkolaSans" w:hAnsi="SkolaSans" w:cs="TimesNewRomanPSMT"/>
        </w:rPr>
        <w:t>на различни географски територии.</w:t>
      </w:r>
      <w:r w:rsidR="00C45810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Практичен пример на пристапот за заменливост на страна</w:t>
      </w:r>
      <w:r w:rsidR="002832B0" w:rsidRPr="00F31BAF">
        <w:rPr>
          <w:rFonts w:ascii="SkolaSans" w:hAnsi="SkolaSans" w:cs="TimesNewRomanPSMT"/>
        </w:rPr>
        <w:t>та</w:t>
      </w:r>
      <w:r w:rsidRPr="00F31BAF">
        <w:rPr>
          <w:rFonts w:ascii="SkolaSans" w:hAnsi="SkolaSans" w:cs="TimesNewRomanPSMT"/>
        </w:rPr>
        <w:t xml:space="preserve"> на понудата при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дефинирање на пазарите на стоки може да се пронајде во случајот со хартија. Хартијата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вообичаено се набавува со спектар на различни квалитети, од стандардна хартија за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пишување до високо квалитетна хартија</w:t>
      </w:r>
      <w:r w:rsidR="002832B0" w:rsidRPr="00F31BAF">
        <w:rPr>
          <w:rFonts w:ascii="SkolaSans" w:hAnsi="SkolaSans" w:cs="TimesNewRomanPSMT"/>
        </w:rPr>
        <w:t xml:space="preserve"> која се користи </w:t>
      </w:r>
      <w:r w:rsidRPr="00F31BAF">
        <w:rPr>
          <w:rFonts w:ascii="SkolaSans" w:hAnsi="SkolaSans" w:cs="TimesNewRomanPSMT"/>
        </w:rPr>
        <w:t>на пример, за издавање на книги</w:t>
      </w:r>
      <w:r w:rsidR="002832B0" w:rsidRPr="00F31BAF">
        <w:rPr>
          <w:rFonts w:ascii="SkolaSans" w:hAnsi="SkolaSans" w:cs="TimesNewRomanPSMT"/>
        </w:rPr>
        <w:t xml:space="preserve"> за уметност</w:t>
      </w:r>
      <w:r w:rsidRPr="00F31BAF">
        <w:rPr>
          <w:rFonts w:ascii="SkolaSans" w:hAnsi="SkolaSans" w:cs="TimesNewRomanPSMT"/>
        </w:rPr>
        <w:t xml:space="preserve">. Од аспект на побарувачката, </w:t>
      </w:r>
      <w:r w:rsidR="002832B0" w:rsidRPr="00F31BAF">
        <w:rPr>
          <w:rFonts w:ascii="SkolaSans" w:hAnsi="SkolaSans" w:cs="TimesNewRomanPSMT"/>
        </w:rPr>
        <w:t xml:space="preserve">хартија со различен </w:t>
      </w:r>
      <w:r w:rsidRPr="00F31BAF">
        <w:rPr>
          <w:rFonts w:ascii="SkolaSans" w:hAnsi="SkolaSans" w:cs="TimesNewRomanPSMT"/>
        </w:rPr>
        <w:t>квалитет</w:t>
      </w:r>
      <w:r w:rsidR="002832B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не мож</w:t>
      </w:r>
      <w:r w:rsidR="002832B0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 да се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корист</w:t>
      </w:r>
      <w:r w:rsidR="002832B0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за сек</w:t>
      </w:r>
      <w:r w:rsidR="002832B0" w:rsidRPr="00F31BAF">
        <w:rPr>
          <w:rFonts w:ascii="SkolaSans" w:hAnsi="SkolaSans" w:cs="TimesNewRomanPSMT"/>
        </w:rPr>
        <w:t xml:space="preserve">аква </w:t>
      </w:r>
      <w:r w:rsidRPr="00F31BAF">
        <w:rPr>
          <w:rFonts w:ascii="SkolaSans" w:hAnsi="SkolaSans" w:cs="TimesNewRomanPSMT"/>
        </w:rPr>
        <w:t>употреба, на пример книга</w:t>
      </w:r>
      <w:r w:rsidR="002832B0" w:rsidRPr="00F31BAF">
        <w:rPr>
          <w:rFonts w:ascii="SkolaSans" w:hAnsi="SkolaSans" w:cs="TimesNewRomanPSMT"/>
        </w:rPr>
        <w:t xml:space="preserve"> за уметност</w:t>
      </w:r>
      <w:r w:rsidRPr="00F31BAF">
        <w:rPr>
          <w:rFonts w:ascii="SkolaSans" w:hAnsi="SkolaSans" w:cs="TimesNewRomanPSMT"/>
        </w:rPr>
        <w:t xml:space="preserve"> или високо квалитетна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публикација не може да </w:t>
      </w:r>
      <w:r w:rsidR="002832B0" w:rsidRPr="00F31BAF">
        <w:rPr>
          <w:rFonts w:ascii="SkolaSans" w:hAnsi="SkolaSans" w:cs="TimesNewRomanPSMT"/>
        </w:rPr>
        <w:t xml:space="preserve">биде печатена </w:t>
      </w:r>
      <w:r w:rsidRPr="00F31BAF">
        <w:rPr>
          <w:rFonts w:ascii="SkolaSans" w:hAnsi="SkolaSans" w:cs="TimesNewRomanPSMT"/>
        </w:rPr>
        <w:t xml:space="preserve">на </w:t>
      </w:r>
      <w:r w:rsidR="002832B0" w:rsidRPr="00F31BAF">
        <w:rPr>
          <w:rFonts w:ascii="SkolaSans" w:hAnsi="SkolaSans" w:cs="TimesNewRomanPSMT"/>
        </w:rPr>
        <w:t>хартија со помал</w:t>
      </w:r>
      <w:r w:rsidRPr="00F31BAF">
        <w:rPr>
          <w:rFonts w:ascii="SkolaSans" w:hAnsi="SkolaSans" w:cs="TimesNewRomanPSMT"/>
        </w:rPr>
        <w:t xml:space="preserve"> квалитет. Сепак, фабриките за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хартија се подготвени да произведат </w:t>
      </w:r>
      <w:r w:rsidR="002832B0" w:rsidRPr="00F31BAF">
        <w:rPr>
          <w:rFonts w:ascii="SkolaSans" w:hAnsi="SkolaSans" w:cs="TimesNewRomanPSMT"/>
        </w:rPr>
        <w:t xml:space="preserve">хартија со </w:t>
      </w:r>
      <w:r w:rsidRPr="00F31BAF">
        <w:rPr>
          <w:rFonts w:ascii="SkolaSans" w:hAnsi="SkolaSans" w:cs="TimesNewRomanPSMT"/>
        </w:rPr>
        <w:t>различ</w:t>
      </w:r>
      <w:r w:rsidR="002832B0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>н квалитет, и производството може да се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прилагоди со незначителни трошоци и во кус временски период. Во отсуство на посебни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тешкотии во дистрибуцијата, производителите на хартија се способни да се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натпреваруваат за нарачки на </w:t>
      </w:r>
      <w:r w:rsidR="002832B0" w:rsidRPr="00F31BAF">
        <w:rPr>
          <w:rFonts w:ascii="SkolaSans" w:hAnsi="SkolaSans" w:cs="TimesNewRomanPSMT"/>
        </w:rPr>
        <w:t xml:space="preserve">хартија со </w:t>
      </w:r>
      <w:r w:rsidRPr="00F31BAF">
        <w:rPr>
          <w:rFonts w:ascii="SkolaSans" w:hAnsi="SkolaSans" w:cs="TimesNewRomanPSMT"/>
        </w:rPr>
        <w:t>различ</w:t>
      </w:r>
      <w:r w:rsidR="002832B0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н квалитет, особено ако нарачките се </w:t>
      </w:r>
      <w:r w:rsidR="002832B0" w:rsidRPr="00F31BAF">
        <w:rPr>
          <w:rFonts w:ascii="SkolaSans" w:hAnsi="SkolaSans" w:cs="TimesNewRomanPSMT"/>
        </w:rPr>
        <w:t xml:space="preserve">направени доволно време однапред </w:t>
      </w:r>
      <w:r w:rsidRPr="00F31BAF">
        <w:rPr>
          <w:rFonts w:ascii="SkolaSans" w:hAnsi="SkolaSans" w:cs="TimesNewRomanPSMT"/>
        </w:rPr>
        <w:t xml:space="preserve">кое дозволува да се изврши </w:t>
      </w:r>
      <w:r w:rsidR="002832B0" w:rsidRPr="00F31BAF">
        <w:rPr>
          <w:rFonts w:ascii="SkolaSans" w:hAnsi="SkolaSans" w:cs="TimesNewRomanPSMT"/>
        </w:rPr>
        <w:t xml:space="preserve">приспособување </w:t>
      </w:r>
      <w:r w:rsidRPr="00F31BAF">
        <w:rPr>
          <w:rFonts w:ascii="SkolaSans" w:hAnsi="SkolaSans" w:cs="TimesNewRomanPSMT"/>
        </w:rPr>
        <w:t>на фабриките за хартија. Во вакви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околности, Комисијата нема да дефинира посебен пазар за секој</w:t>
      </w:r>
      <w:r w:rsidR="002832B0" w:rsidRPr="00F31BAF">
        <w:rPr>
          <w:rFonts w:ascii="SkolaSans" w:hAnsi="SkolaSans" w:cs="TimesNewRomanPSMT"/>
        </w:rPr>
        <w:t>а хартија со различен квалитет</w:t>
      </w:r>
      <w:r w:rsidRPr="00F31BAF">
        <w:rPr>
          <w:rFonts w:ascii="SkolaSans" w:hAnsi="SkolaSans" w:cs="TimesNewRomanPSMT"/>
        </w:rPr>
        <w:t xml:space="preserve"> и за</w:t>
      </w:r>
      <w:r w:rsidR="00C45810" w:rsidRPr="00F31BAF">
        <w:rPr>
          <w:rFonts w:ascii="SkolaSans" w:hAnsi="SkolaSans" w:cs="TimesNewRomanPSMT"/>
        </w:rPr>
        <w:t xml:space="preserve"> </w:t>
      </w:r>
      <w:r w:rsidR="009F16B2" w:rsidRPr="00F31BAF">
        <w:rPr>
          <w:rFonts w:ascii="SkolaSans" w:hAnsi="SkolaSans" w:cs="TimesNewRomanPSMT"/>
        </w:rPr>
        <w:t>различна намена</w:t>
      </w:r>
      <w:r w:rsidRPr="00F31BAF">
        <w:rPr>
          <w:rFonts w:ascii="SkolaSans" w:hAnsi="SkolaSans" w:cs="TimesNewRomanPSMT"/>
        </w:rPr>
        <w:t xml:space="preserve">. </w:t>
      </w:r>
      <w:r w:rsidR="009F16B2" w:rsidRPr="00F31BAF">
        <w:rPr>
          <w:rFonts w:ascii="SkolaSans" w:hAnsi="SkolaSans" w:cs="TimesNewRomanPSMT"/>
        </w:rPr>
        <w:t>Хартијата со р</w:t>
      </w:r>
      <w:r w:rsidRPr="00F31BAF">
        <w:rPr>
          <w:rFonts w:ascii="SkolaSans" w:hAnsi="SkolaSans" w:cs="TimesNewRomanPSMT"/>
        </w:rPr>
        <w:t>азлич</w:t>
      </w:r>
      <w:r w:rsidR="009F16B2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>н</w:t>
      </w:r>
      <w:r w:rsidR="009F16B2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квалитет е вклучен</w:t>
      </w:r>
      <w:r w:rsidR="009F16B2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во релевантниот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 и </w:t>
      </w:r>
      <w:r w:rsidR="009F16B2" w:rsidRPr="00F31BAF">
        <w:rPr>
          <w:rFonts w:ascii="SkolaSans" w:hAnsi="SkolaSans" w:cs="TimesNewRomanPSMT"/>
        </w:rPr>
        <w:t xml:space="preserve">нејзините </w:t>
      </w:r>
      <w:r w:rsidRPr="00F31BAF">
        <w:rPr>
          <w:rFonts w:ascii="SkolaSans" w:hAnsi="SkolaSans" w:cs="TimesNewRomanPSMT"/>
        </w:rPr>
        <w:t>продажби се додаваат при проценката на вкупна вредност и</w:t>
      </w:r>
      <w:r w:rsidR="009F16B2" w:rsidRPr="00F31BAF">
        <w:rPr>
          <w:rFonts w:ascii="SkolaSans" w:hAnsi="SkolaSans" w:cs="TimesNewRomanPSMT"/>
        </w:rPr>
        <w:t xml:space="preserve"> големина на пазарот</w:t>
      </w:r>
      <w:r w:rsidRPr="00F31BAF">
        <w:rPr>
          <w:rFonts w:ascii="SkolaSans" w:hAnsi="SkolaSans" w:cs="TimesNewRomanPSMT"/>
        </w:rPr>
        <w:t>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Кога заменливоста на страна</w:t>
      </w:r>
      <w:r w:rsidR="002F7E25" w:rsidRPr="00F31BAF">
        <w:rPr>
          <w:rFonts w:ascii="SkolaSans" w:hAnsi="SkolaSans" w:cs="TimesNewRomanPSMT"/>
        </w:rPr>
        <w:t>та</w:t>
      </w:r>
      <w:r w:rsidRPr="00F31BAF">
        <w:rPr>
          <w:rFonts w:ascii="SkolaSans" w:hAnsi="SkolaSans" w:cs="TimesNewRomanPSMT"/>
        </w:rPr>
        <w:t xml:space="preserve"> на понудата бара значително усогласување 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постоечките</w:t>
      </w:r>
      <w:r w:rsidR="002F7E25" w:rsidRPr="00F31BAF">
        <w:rPr>
          <w:rFonts w:ascii="SkolaSans" w:hAnsi="SkolaSans" w:cs="TimesNewRomanPSMT"/>
        </w:rPr>
        <w:t xml:space="preserve"> материјални и нематеријални средства</w:t>
      </w:r>
      <w:r w:rsidRPr="00F31BAF">
        <w:rPr>
          <w:rFonts w:ascii="SkolaSans" w:hAnsi="SkolaSans" w:cs="TimesNewRomanPSMT"/>
        </w:rPr>
        <w:t>, дополнителни инвестиции, стратешки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одлуки или </w:t>
      </w:r>
      <w:r w:rsidR="002F7E25" w:rsidRPr="00F31BAF">
        <w:rPr>
          <w:rFonts w:ascii="SkolaSans" w:hAnsi="SkolaSans" w:cs="TimesNewRomanPSMT"/>
        </w:rPr>
        <w:t>продолжување на роковите,</w:t>
      </w:r>
      <w:r w:rsidRPr="00F31BAF">
        <w:rPr>
          <w:rFonts w:ascii="SkolaSans" w:hAnsi="SkolaSans" w:cs="TimesNewRomanPSMT"/>
        </w:rPr>
        <w:t xml:space="preserve"> </w:t>
      </w:r>
      <w:r w:rsidR="002F7E25" w:rsidRPr="00F31BAF">
        <w:rPr>
          <w:rFonts w:ascii="SkolaSans" w:hAnsi="SkolaSans" w:cs="TimesNewRomanPSMT"/>
        </w:rPr>
        <w:t xml:space="preserve">истата </w:t>
      </w:r>
      <w:r w:rsidRPr="00F31BAF">
        <w:rPr>
          <w:rFonts w:ascii="SkolaSans" w:hAnsi="SkolaSans" w:cs="TimesNewRomanPSMT"/>
        </w:rPr>
        <w:t>нема да биде земена во предвид во фазата на дефинирање на пазарот. Примери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кога заменливост</w:t>
      </w:r>
      <w:r w:rsidR="002F7E25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на страната на понудата не води до проширување на</w:t>
      </w:r>
      <w:r w:rsidR="00C4581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пазарот </w:t>
      </w:r>
      <w:r w:rsidR="002F7E25" w:rsidRPr="00F31BAF">
        <w:rPr>
          <w:rFonts w:ascii="SkolaSans" w:hAnsi="SkolaSans" w:cs="TimesNewRomanPSMT"/>
        </w:rPr>
        <w:t>има</w:t>
      </w:r>
      <w:r w:rsidRPr="00F31BAF">
        <w:rPr>
          <w:rFonts w:ascii="SkolaSans" w:hAnsi="SkolaSans" w:cs="TimesNewRomanPSMT"/>
        </w:rPr>
        <w:t xml:space="preserve"> во сферата на потрошувачките стоки, особено за брендирани пијалоци.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Иако фабриките за флаширање (полнење)</w:t>
      </w:r>
      <w:r w:rsidR="002F7E2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во принцип </w:t>
      </w:r>
      <w:r w:rsidR="002F7E25" w:rsidRPr="00F31BAF">
        <w:rPr>
          <w:rFonts w:ascii="SkolaSans" w:hAnsi="SkolaSans" w:cs="TimesNewRomanPSMT"/>
        </w:rPr>
        <w:t xml:space="preserve">можат </w:t>
      </w:r>
      <w:r w:rsidRPr="00F31BAF">
        <w:rPr>
          <w:rFonts w:ascii="SkolaSans" w:hAnsi="SkolaSans" w:cs="TimesNewRomanPSMT"/>
        </w:rPr>
        <w:t>да флашираат различни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пијалоци, </w:t>
      </w:r>
      <w:r w:rsidR="002F7E25" w:rsidRPr="00F31BAF">
        <w:rPr>
          <w:rFonts w:ascii="SkolaSans" w:hAnsi="SkolaSans" w:cs="TimesNewRomanPSMT"/>
        </w:rPr>
        <w:t xml:space="preserve">за истото постојат </w:t>
      </w:r>
      <w:r w:rsidRPr="00F31BAF">
        <w:rPr>
          <w:rFonts w:ascii="SkolaSans" w:hAnsi="SkolaSans" w:cs="TimesNewRomanPSMT"/>
        </w:rPr>
        <w:t>трошоци</w:t>
      </w:r>
      <w:r w:rsidR="002F7E2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и </w:t>
      </w:r>
      <w:r w:rsidR="002F7E25" w:rsidRPr="00F31BAF">
        <w:rPr>
          <w:rFonts w:ascii="SkolaSans" w:hAnsi="SkolaSans" w:cs="TimesNewRomanPSMT"/>
        </w:rPr>
        <w:t xml:space="preserve">потребно е </w:t>
      </w:r>
      <w:r w:rsidRPr="00F31BAF">
        <w:rPr>
          <w:rFonts w:ascii="SkolaSans" w:hAnsi="SkolaSans" w:cs="TimesNewRomanPSMT"/>
        </w:rPr>
        <w:t>време (во смисла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рекламирање, тестирање и дистрибуција на стоките) пред стоките да можат да се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продаваат. Во вакви случаи, ефектите од заменливоста на страната на понудата и другите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форми на потенцијална конкуренција ќе бидат испитани во подоцнежна фаза.</w:t>
      </w:r>
    </w:p>
    <w:p w:rsidR="003802A0" w:rsidRDefault="00F83E03">
      <w:pPr>
        <w:pStyle w:val="Heading3"/>
        <w:spacing w:before="0" w:after="120"/>
        <w:ind w:firstLine="426"/>
        <w:rPr>
          <w:rFonts w:ascii="SkolaSans" w:hAnsi="SkolaSans"/>
        </w:rPr>
      </w:pPr>
      <w:bookmarkStart w:id="15" w:name="_Toc292717604"/>
      <w:r w:rsidRPr="00F31BAF">
        <w:rPr>
          <w:rFonts w:ascii="SkolaSans" w:hAnsi="SkolaSans"/>
          <w:color w:val="auto"/>
        </w:rPr>
        <w:lastRenderedPageBreak/>
        <w:t>2.</w:t>
      </w:r>
      <w:r w:rsidR="005D4694" w:rsidRPr="00F31BAF">
        <w:rPr>
          <w:rFonts w:ascii="SkolaSans" w:hAnsi="SkolaSans"/>
          <w:color w:val="auto"/>
        </w:rPr>
        <w:t>4</w:t>
      </w:r>
      <w:r w:rsidRPr="00F31BAF">
        <w:rPr>
          <w:rFonts w:ascii="SkolaSans" w:hAnsi="SkolaSans"/>
          <w:color w:val="auto"/>
        </w:rPr>
        <w:t xml:space="preserve"> Потенцијална конкуренција</w:t>
      </w:r>
      <w:bookmarkEnd w:id="15"/>
    </w:p>
    <w:p w:rsidR="00F83E03" w:rsidRDefault="00F83E03" w:rsidP="002765C9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Третиот фактор кој </w:t>
      </w:r>
      <w:r w:rsidR="00363D13" w:rsidRPr="00F31BAF">
        <w:rPr>
          <w:rFonts w:ascii="SkolaSans" w:hAnsi="SkolaSans" w:cs="TimesNewRomanPSMT"/>
        </w:rPr>
        <w:t xml:space="preserve">ја ограничува конкуренцијата </w:t>
      </w:r>
      <w:r w:rsidRPr="00F31BAF">
        <w:rPr>
          <w:rFonts w:ascii="SkolaSans" w:hAnsi="SkolaSans" w:cs="TimesNewRomanPSMT"/>
        </w:rPr>
        <w:t>на претпријатието на пазарот,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потенцијалната конкуренција, не се зема во предвид при дефинирање на пазарите, бидеј</w:t>
      </w:r>
      <w:r w:rsidR="00EB4622" w:rsidRPr="00F31BAF">
        <w:rPr>
          <w:rFonts w:ascii="SkolaSans" w:hAnsi="SkolaSans" w:cs="TimesNewRomanPSMT"/>
        </w:rPr>
        <w:t>ќ</w:t>
      </w:r>
      <w:r w:rsidRPr="00F31BAF">
        <w:rPr>
          <w:rFonts w:ascii="SkolaSans" w:hAnsi="SkolaSans" w:cs="TimesNewRomanPSMT"/>
        </w:rPr>
        <w:t>и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условите под кои потенцијалната конкуренција всушност ќе претставува </w:t>
      </w:r>
      <w:r w:rsidR="00363D13" w:rsidRPr="00F31BAF">
        <w:rPr>
          <w:rFonts w:ascii="SkolaSans" w:hAnsi="SkolaSans" w:cs="TimesNewRomanPSMT"/>
        </w:rPr>
        <w:t xml:space="preserve">делотворен </w:t>
      </w:r>
      <w:r w:rsidRPr="00F31BAF">
        <w:rPr>
          <w:rFonts w:ascii="SkolaSans" w:hAnsi="SkolaSans" w:cs="TimesNewRomanPSMT"/>
        </w:rPr>
        <w:t>фактор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кој </w:t>
      </w:r>
      <w:r w:rsidR="00363D13" w:rsidRPr="00F31BAF">
        <w:rPr>
          <w:rFonts w:ascii="SkolaSans" w:hAnsi="SkolaSans" w:cs="TimesNewRomanPSMT"/>
        </w:rPr>
        <w:t>ја ограничува конкуренцијата</w:t>
      </w:r>
      <w:r w:rsidRPr="00F31BAF">
        <w:rPr>
          <w:rFonts w:ascii="SkolaSans" w:hAnsi="SkolaSans" w:cs="TimesNewRomanPSMT"/>
        </w:rPr>
        <w:t>, зависат од анализ</w:t>
      </w:r>
      <w:r w:rsidR="00363D13" w:rsidRPr="00F31BAF">
        <w:rPr>
          <w:rFonts w:ascii="SkolaSans" w:hAnsi="SkolaSans" w:cs="TimesNewRomanPSMT"/>
        </w:rPr>
        <w:t>ата</w:t>
      </w:r>
      <w:r w:rsidRPr="00F31BAF">
        <w:rPr>
          <w:rFonts w:ascii="SkolaSans" w:hAnsi="SkolaSans" w:cs="TimesNewRomanPSMT"/>
        </w:rPr>
        <w:t xml:space="preserve"> на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специфичните фактори и околности поврзани со условите за влез</w:t>
      </w:r>
      <w:r w:rsidR="00363D13" w:rsidRPr="00F31BAF">
        <w:rPr>
          <w:rFonts w:ascii="SkolaSans" w:hAnsi="SkolaSans" w:cs="TimesNewRomanPSMT"/>
        </w:rPr>
        <w:t xml:space="preserve"> на пазарот</w:t>
      </w:r>
      <w:r w:rsidRPr="00F31BAF">
        <w:rPr>
          <w:rFonts w:ascii="SkolaSans" w:hAnsi="SkolaSans" w:cs="TimesNewRomanPSMT"/>
        </w:rPr>
        <w:t>. Доколку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е потребно,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ов</w:t>
      </w:r>
      <w:r w:rsidR="00363D13" w:rsidRPr="00F31BAF">
        <w:rPr>
          <w:rFonts w:ascii="SkolaSans" w:hAnsi="SkolaSans" w:cs="TimesNewRomanPSMT"/>
        </w:rPr>
        <w:t>аа</w:t>
      </w:r>
      <w:r w:rsidRPr="00F31BAF">
        <w:rPr>
          <w:rFonts w:ascii="SkolaSans" w:hAnsi="SkolaSans" w:cs="TimesNewRomanPSMT"/>
        </w:rPr>
        <w:t xml:space="preserve"> анализ</w:t>
      </w:r>
      <w:r w:rsidR="00363D13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се врш</w:t>
      </w:r>
      <w:r w:rsidR="00363D13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во следна фаза, генерално кога позицијата на засегнатите</w:t>
      </w:r>
      <w:r w:rsidR="00FF1397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претпријатија на релевантниот пазар е веќе утврдена и кога таквата позиција </w:t>
      </w:r>
      <w:r w:rsidR="00363D13" w:rsidRPr="00F31BAF">
        <w:rPr>
          <w:rFonts w:ascii="SkolaSans" w:hAnsi="SkolaSans" w:cs="TimesNewRomanPSMT"/>
        </w:rPr>
        <w:t xml:space="preserve">претставува причина за загриженост </w:t>
      </w:r>
      <w:r w:rsidRPr="00F31BAF">
        <w:rPr>
          <w:rFonts w:ascii="SkolaSans" w:hAnsi="SkolaSans" w:cs="TimesNewRomanPSMT"/>
        </w:rPr>
        <w:t>од аспект на конкуренцијата.</w:t>
      </w:r>
    </w:p>
    <w:p w:rsidR="002765C9" w:rsidRDefault="002765C9" w:rsidP="002765C9">
      <w:pPr>
        <w:pStyle w:val="Heading1"/>
        <w:spacing w:before="240" w:after="240"/>
        <w:jc w:val="both"/>
        <w:rPr>
          <w:rFonts w:ascii="SkolaSans" w:hAnsi="SkolaSans"/>
          <w:color w:val="auto"/>
          <w:sz w:val="22"/>
          <w:szCs w:val="22"/>
        </w:rPr>
      </w:pPr>
    </w:p>
    <w:p w:rsidR="003802A0" w:rsidRDefault="00F83E03">
      <w:pPr>
        <w:pStyle w:val="Heading1"/>
        <w:spacing w:before="240" w:after="240"/>
        <w:jc w:val="both"/>
        <w:rPr>
          <w:rFonts w:ascii="SkolaSans" w:hAnsi="SkolaSans"/>
        </w:rPr>
      </w:pPr>
      <w:bookmarkStart w:id="16" w:name="_Toc292717605"/>
      <w:r w:rsidRPr="00F31BAF">
        <w:rPr>
          <w:rFonts w:ascii="SkolaSans" w:hAnsi="SkolaSans"/>
          <w:color w:val="auto"/>
          <w:sz w:val="22"/>
          <w:szCs w:val="22"/>
        </w:rPr>
        <w:t>III. ДОКАЗИ НА КОИ СЕ БАЗИРА ДЕФИНИРАЊЕТО НА РЕЛЕВАНТНИТЕ</w:t>
      </w:r>
      <w:r w:rsidR="00DE2669" w:rsidRPr="00F31BAF">
        <w:rPr>
          <w:rFonts w:ascii="SkolaSans" w:hAnsi="SkolaSans"/>
          <w:color w:val="auto"/>
          <w:sz w:val="22"/>
          <w:szCs w:val="22"/>
        </w:rPr>
        <w:t xml:space="preserve"> </w:t>
      </w:r>
      <w:r w:rsidRPr="00F31BAF">
        <w:rPr>
          <w:rFonts w:ascii="SkolaSans" w:hAnsi="SkolaSans"/>
          <w:color w:val="auto"/>
          <w:sz w:val="22"/>
          <w:szCs w:val="22"/>
        </w:rPr>
        <w:t>ПАЗАРИ</w:t>
      </w:r>
      <w:bookmarkEnd w:id="16"/>
    </w:p>
    <w:p w:rsidR="003802A0" w:rsidRDefault="00E03F7F">
      <w:pPr>
        <w:pStyle w:val="Heading2"/>
        <w:spacing w:before="240" w:after="240"/>
        <w:rPr>
          <w:rFonts w:ascii="SkolaSans" w:hAnsi="SkolaSans"/>
        </w:rPr>
      </w:pPr>
      <w:bookmarkStart w:id="17" w:name="_Toc292717606"/>
      <w:r>
        <w:rPr>
          <w:rFonts w:ascii="SkolaSans" w:hAnsi="SkolaSans"/>
          <w:color w:val="auto"/>
          <w:sz w:val="22"/>
          <w:szCs w:val="22"/>
        </w:rPr>
        <w:t xml:space="preserve">1. </w:t>
      </w:r>
      <w:r w:rsidR="00F83E03" w:rsidRPr="00F31BAF">
        <w:rPr>
          <w:rFonts w:ascii="SkolaSans" w:hAnsi="SkolaSans"/>
          <w:color w:val="auto"/>
          <w:sz w:val="22"/>
          <w:szCs w:val="22"/>
        </w:rPr>
        <w:t>Процесот на дефинирање на релевантниот пазар во пракса</w:t>
      </w:r>
      <w:bookmarkEnd w:id="17"/>
    </w:p>
    <w:p w:rsidR="003802A0" w:rsidRDefault="00F83E03">
      <w:pPr>
        <w:pStyle w:val="Heading3"/>
        <w:spacing w:before="240" w:after="240"/>
        <w:ind w:firstLine="426"/>
        <w:rPr>
          <w:rFonts w:ascii="SkolaSans" w:hAnsi="SkolaSans"/>
        </w:rPr>
      </w:pPr>
      <w:bookmarkStart w:id="18" w:name="_Toc292717607"/>
      <w:r w:rsidRPr="00F31BAF">
        <w:rPr>
          <w:rFonts w:ascii="SkolaSans" w:hAnsi="SkolaSans"/>
          <w:color w:val="auto"/>
        </w:rPr>
        <w:t>1.1 Релевантен пазар на стоки</w:t>
      </w:r>
      <w:bookmarkEnd w:id="18"/>
    </w:p>
    <w:p w:rsidR="0029671F" w:rsidRPr="00F31BAF" w:rsidRDefault="00F83E03" w:rsidP="00E03F7F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Постои низа на докази кои дозволуваат оценка на обемот </w:t>
      </w:r>
      <w:r w:rsidR="008A2335" w:rsidRPr="00F31BAF">
        <w:rPr>
          <w:rFonts w:ascii="SkolaSans" w:hAnsi="SkolaSans" w:cs="TimesNewRomanPSMT"/>
        </w:rPr>
        <w:t xml:space="preserve">во кој </w:t>
      </w:r>
      <w:r w:rsidRPr="00F31BAF">
        <w:rPr>
          <w:rFonts w:ascii="SkolaSans" w:hAnsi="SkolaSans" w:cs="TimesNewRomanPSMT"/>
        </w:rPr>
        <w:t>ќе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се изврши</w:t>
      </w:r>
      <w:r w:rsidR="008A2335" w:rsidRPr="00F31BAF">
        <w:rPr>
          <w:rFonts w:ascii="SkolaSans" w:hAnsi="SkolaSans" w:cs="TimesNewRomanPSMT"/>
        </w:rPr>
        <w:t xml:space="preserve"> замената</w:t>
      </w:r>
      <w:r w:rsidRPr="00F31BAF">
        <w:rPr>
          <w:rFonts w:ascii="SkolaSans" w:hAnsi="SkolaSans" w:cs="TimesNewRomanPSMT"/>
        </w:rPr>
        <w:t xml:space="preserve">. Во индивидуални случаи, одредени видови на докази ќе бидат одлучувачки, </w:t>
      </w:r>
      <w:r w:rsidR="008A2335" w:rsidRPr="00F31BAF">
        <w:rPr>
          <w:rFonts w:ascii="SkolaSans" w:hAnsi="SkolaSans" w:cs="TimesNewRomanPSMT"/>
        </w:rPr>
        <w:t xml:space="preserve">што </w:t>
      </w:r>
      <w:r w:rsidRPr="00F31BAF">
        <w:rPr>
          <w:rFonts w:ascii="SkolaSans" w:hAnsi="SkolaSans" w:cs="TimesNewRomanPSMT"/>
        </w:rPr>
        <w:t xml:space="preserve">во голема мера </w:t>
      </w:r>
      <w:r w:rsidR="008A2335" w:rsidRPr="00F31BAF">
        <w:rPr>
          <w:rFonts w:ascii="SkolaSans" w:hAnsi="SkolaSans" w:cs="TimesNewRomanPSMT"/>
        </w:rPr>
        <w:t xml:space="preserve">ќе </w:t>
      </w:r>
      <w:r w:rsidRPr="00F31BAF">
        <w:rPr>
          <w:rFonts w:ascii="SkolaSans" w:hAnsi="SkolaSans" w:cs="TimesNewRomanPSMT"/>
        </w:rPr>
        <w:t xml:space="preserve">зависи од карактеристиките и специфичноста на </w:t>
      </w:r>
      <w:r w:rsidR="008A2335" w:rsidRPr="00F31BAF">
        <w:rPr>
          <w:rFonts w:ascii="SkolaSans" w:hAnsi="SkolaSans" w:cs="TimesNewRomanPSMT"/>
        </w:rPr>
        <w:t>стопанската гранка</w:t>
      </w:r>
      <w:r w:rsidRPr="00F31BAF">
        <w:rPr>
          <w:rFonts w:ascii="SkolaSans" w:hAnsi="SkolaSans" w:cs="TimesNewRomanPSMT"/>
        </w:rPr>
        <w:t xml:space="preserve"> 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стоките или услугите кои се испитуваат. Истиот вид на доказ </w:t>
      </w:r>
      <w:r w:rsidR="008A2335" w:rsidRPr="00F31BAF">
        <w:rPr>
          <w:rFonts w:ascii="SkolaSans" w:hAnsi="SkolaSans" w:cs="TimesNewRomanPSMT"/>
        </w:rPr>
        <w:t xml:space="preserve">во други случаи </w:t>
      </w:r>
      <w:r w:rsidRPr="00F31BAF">
        <w:rPr>
          <w:rFonts w:ascii="SkolaSans" w:hAnsi="SkolaSans" w:cs="TimesNewRomanPSMT"/>
        </w:rPr>
        <w:t>може да не бид</w:t>
      </w:r>
      <w:r w:rsidR="008A2335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 од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значење. Во најголем број случаи, одлуката мора да се </w:t>
      </w:r>
      <w:r w:rsidR="008A2335" w:rsidRPr="00F31BAF">
        <w:rPr>
          <w:rFonts w:ascii="SkolaSans" w:hAnsi="SkolaSans" w:cs="TimesNewRomanPSMT"/>
        </w:rPr>
        <w:t>донесе по</w:t>
      </w:r>
      <w:r w:rsidRPr="00F31BAF">
        <w:rPr>
          <w:rFonts w:ascii="SkolaSans" w:hAnsi="SkolaSans" w:cs="TimesNewRomanPSMT"/>
        </w:rPr>
        <w:t xml:space="preserve"> </w:t>
      </w:r>
      <w:r w:rsidR="008A2335" w:rsidRPr="00F31BAF">
        <w:rPr>
          <w:rFonts w:ascii="SkolaSans" w:hAnsi="SkolaSans" w:cs="TimesNewRomanPSMT"/>
        </w:rPr>
        <w:t xml:space="preserve">разгледување на </w:t>
      </w:r>
      <w:r w:rsidRPr="00F31BAF">
        <w:rPr>
          <w:rFonts w:ascii="SkolaSans" w:hAnsi="SkolaSans" w:cs="TimesNewRomanPSMT"/>
        </w:rPr>
        <w:t>број</w:t>
      </w:r>
      <w:r w:rsidR="008A2335" w:rsidRPr="00F31BAF">
        <w:rPr>
          <w:rFonts w:ascii="SkolaSans" w:hAnsi="SkolaSans" w:cs="TimesNewRomanPSMT"/>
        </w:rPr>
        <w:t>ни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критериуми и различни доказ</w:t>
      </w:r>
      <w:r w:rsidR="008A2335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. Комисијата следи отворен пристап </w:t>
      </w:r>
      <w:r w:rsidR="008A2335" w:rsidRPr="00F31BAF">
        <w:rPr>
          <w:rFonts w:ascii="SkolaSans" w:hAnsi="SkolaSans" w:cs="TimesNewRomanPSMT"/>
        </w:rPr>
        <w:t>за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емпириски докази,</w:t>
      </w:r>
      <w:r w:rsidR="008A2335" w:rsidRPr="00F31BAF">
        <w:rPr>
          <w:rFonts w:ascii="SkolaSans" w:hAnsi="SkolaSans" w:cs="TimesNewRomanPSMT"/>
        </w:rPr>
        <w:t xml:space="preserve"> со </w:t>
      </w:r>
      <w:r w:rsidRPr="00F31BAF">
        <w:rPr>
          <w:rFonts w:ascii="SkolaSans" w:hAnsi="SkolaSans" w:cs="TimesNewRomanPSMT"/>
        </w:rPr>
        <w:t xml:space="preserve">цел </w:t>
      </w:r>
      <w:r w:rsidR="008A2335" w:rsidRPr="00F31BAF">
        <w:rPr>
          <w:rFonts w:ascii="SkolaSans" w:hAnsi="SkolaSans" w:cs="TimesNewRomanPSMT"/>
        </w:rPr>
        <w:t xml:space="preserve">ефективна </w:t>
      </w:r>
      <w:r w:rsidRPr="00F31BAF">
        <w:rPr>
          <w:rFonts w:ascii="SkolaSans" w:hAnsi="SkolaSans" w:cs="TimesNewRomanPSMT"/>
        </w:rPr>
        <w:t>употреба на сите располож</w:t>
      </w:r>
      <w:r w:rsidR="002A1C76" w:rsidRPr="00F31BAF">
        <w:rPr>
          <w:rFonts w:ascii="SkolaSans" w:hAnsi="SkolaSans" w:cs="TimesNewRomanPSMT"/>
        </w:rPr>
        <w:t>л</w:t>
      </w:r>
      <w:r w:rsidRPr="00F31BAF">
        <w:rPr>
          <w:rFonts w:ascii="SkolaSans" w:hAnsi="SkolaSans" w:cs="TimesNewRomanPSMT"/>
        </w:rPr>
        <w:t>иви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информации кои можат да бидат релевантни во индивидуални случаи. Комисијата не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следи строга хиерархија на различни извори на информации или видови на докази.</w:t>
      </w:r>
      <w:r w:rsidR="0029671F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Процесот на дефинирање на релевантните пазари може да се сумира на следниов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начин: врз основа на располож</w:t>
      </w:r>
      <w:r w:rsidR="002A1C76" w:rsidRPr="00F31BAF">
        <w:rPr>
          <w:rFonts w:ascii="SkolaSans" w:hAnsi="SkolaSans" w:cs="TimesNewRomanPSMT"/>
        </w:rPr>
        <w:t>л</w:t>
      </w:r>
      <w:r w:rsidRPr="00F31BAF">
        <w:rPr>
          <w:rFonts w:ascii="SkolaSans" w:hAnsi="SkolaSans" w:cs="TimesNewRomanPSMT"/>
        </w:rPr>
        <w:t>ивите прелиминарни информации или информации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поднесени од засегнатите претпријатија, Комисијата вообичаено ќе биде во позиција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широко да ги утврди можните релевантни пазари во кои, на пример, </w:t>
      </w:r>
      <w:r w:rsidR="00A3420F" w:rsidRPr="00F31BAF">
        <w:rPr>
          <w:rFonts w:ascii="SkolaSans" w:hAnsi="SkolaSans" w:cs="TimesNewRomanPSMT"/>
        </w:rPr>
        <w:t>треба да се оцен</w:t>
      </w:r>
      <w:r w:rsidR="00E43AD2" w:rsidRPr="00F31BAF">
        <w:rPr>
          <w:rFonts w:ascii="SkolaSans" w:hAnsi="SkolaSans" w:cs="TimesNewRomanPSMT"/>
        </w:rPr>
        <w:t>и</w:t>
      </w:r>
      <w:r w:rsidR="00A3420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концентрацијата или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ограничувањето на конкуренцијата. Општо земено и за сите практични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цели </w:t>
      </w:r>
      <w:r w:rsidR="00A3420F" w:rsidRPr="00F31BAF">
        <w:rPr>
          <w:rFonts w:ascii="SkolaSans" w:hAnsi="SkolaSans" w:cs="TimesNewRomanPSMT"/>
        </w:rPr>
        <w:t xml:space="preserve">при разгледување на поединечни </w:t>
      </w:r>
      <w:r w:rsidRPr="00F31BAF">
        <w:rPr>
          <w:rFonts w:ascii="SkolaSans" w:hAnsi="SkolaSans" w:cs="TimesNewRomanPSMT"/>
        </w:rPr>
        <w:t xml:space="preserve">случаи, вообичаено </w:t>
      </w:r>
      <w:r w:rsidR="00A3420F" w:rsidRPr="00F31BAF">
        <w:rPr>
          <w:rFonts w:ascii="SkolaSans" w:hAnsi="SkolaSans" w:cs="TimesNewRomanPSMT"/>
        </w:rPr>
        <w:t xml:space="preserve">ќе треба да </w:t>
      </w:r>
      <w:r w:rsidRPr="00F31BAF">
        <w:rPr>
          <w:rFonts w:ascii="SkolaSans" w:hAnsi="SkolaSans" w:cs="TimesNewRomanPSMT"/>
        </w:rPr>
        <w:t xml:space="preserve">се одлучи за </w:t>
      </w:r>
      <w:r w:rsidR="00A3420F" w:rsidRPr="00F31BAF">
        <w:rPr>
          <w:rFonts w:ascii="SkolaSans" w:hAnsi="SkolaSans" w:cs="TimesNewRomanPSMT"/>
        </w:rPr>
        <w:t xml:space="preserve">неколку алтернативни </w:t>
      </w:r>
      <w:r w:rsidRPr="00F31BAF">
        <w:rPr>
          <w:rFonts w:ascii="SkolaSans" w:hAnsi="SkolaSans" w:cs="TimesNewRomanPSMT"/>
        </w:rPr>
        <w:t>можни релевантни пазари. На пример, имајќи го во предвид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пазарот на стоки, прашање кое најчесто ќе се по</w:t>
      </w:r>
      <w:r w:rsidR="00843CAF" w:rsidRPr="00F31BAF">
        <w:rPr>
          <w:rFonts w:ascii="SkolaSans" w:hAnsi="SkolaSans" w:cs="TimesNewRomanPSMT"/>
        </w:rPr>
        <w:t xml:space="preserve">ставува </w:t>
      </w:r>
      <w:r w:rsidRPr="00F31BAF">
        <w:rPr>
          <w:rFonts w:ascii="SkolaSans" w:hAnsi="SkolaSans" w:cs="TimesNewRomanPSMT"/>
        </w:rPr>
        <w:t>ќе биде да се утврди дали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</w:t>
      </w:r>
      <w:r w:rsidR="002A1C76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>зводот А и производот Б припаѓаат или не припаѓаат на ист</w:t>
      </w:r>
      <w:r w:rsidR="00843CAF" w:rsidRPr="00F31BAF">
        <w:rPr>
          <w:rFonts w:ascii="SkolaSans" w:hAnsi="SkolaSans" w:cs="TimesNewRomanPSMT"/>
        </w:rPr>
        <w:t>от</w:t>
      </w:r>
      <w:r w:rsidRPr="00F31BAF">
        <w:rPr>
          <w:rFonts w:ascii="SkolaSans" w:hAnsi="SkolaSans" w:cs="TimesNewRomanPSMT"/>
        </w:rPr>
        <w:t xml:space="preserve"> пазар на стоки.</w:t>
      </w:r>
      <w:r w:rsidR="00843CAF" w:rsidRPr="00F31BAF">
        <w:rPr>
          <w:rFonts w:ascii="SkolaSans" w:hAnsi="SkolaSans" w:cs="TimesNewRomanPSMT"/>
        </w:rPr>
        <w:t xml:space="preserve"> Најчесто, опфаќањето (вклучувањето) на производот Б ќе биде доволно да се отстран</w:t>
      </w:r>
      <w:r w:rsidR="00945EEA">
        <w:rPr>
          <w:rFonts w:ascii="SkolaSans" w:hAnsi="SkolaSans" w:cs="TimesNewRomanPSMT"/>
        </w:rPr>
        <w:t xml:space="preserve">ат </w:t>
      </w:r>
      <w:r w:rsidR="00843CAF" w:rsidRPr="00F31BAF">
        <w:rPr>
          <w:rFonts w:ascii="SkolaSans" w:hAnsi="SkolaSans" w:cs="TimesNewRomanPSMT"/>
        </w:rPr>
        <w:t xml:space="preserve"> било какв</w:t>
      </w:r>
      <w:r w:rsidR="00945EEA">
        <w:rPr>
          <w:rFonts w:ascii="SkolaSans" w:hAnsi="SkolaSans" w:cs="TimesNewRomanPSMT"/>
        </w:rPr>
        <w:t>и</w:t>
      </w:r>
      <w:r w:rsidR="00843CAF" w:rsidRPr="00F31BAF">
        <w:rPr>
          <w:rFonts w:ascii="SkolaSans" w:hAnsi="SkolaSans" w:cs="TimesNewRomanPSMT"/>
        </w:rPr>
        <w:t xml:space="preserve"> </w:t>
      </w:r>
      <w:r w:rsidR="00945EEA">
        <w:rPr>
          <w:rFonts w:ascii="SkolaSans" w:hAnsi="SkolaSans" w:cs="TimesNewRomanPSMT"/>
        </w:rPr>
        <w:t xml:space="preserve">грижи за </w:t>
      </w:r>
      <w:r w:rsidR="00843CAF" w:rsidRPr="00F31BAF">
        <w:rPr>
          <w:rFonts w:ascii="SkolaSans" w:hAnsi="SkolaSans" w:cs="TimesNewRomanPSMT"/>
        </w:rPr>
        <w:t>конкуренцијата.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Во такви ситуации не е потребно да се земе во предвид дали пазарот вклучува и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дополнителни стоки, или да се до</w:t>
      </w:r>
      <w:r w:rsidR="00843CAF" w:rsidRPr="00F31BAF">
        <w:rPr>
          <w:rFonts w:ascii="SkolaSans" w:hAnsi="SkolaSans" w:cs="TimesNewRomanPSMT"/>
        </w:rPr>
        <w:t xml:space="preserve">несе </w:t>
      </w:r>
      <w:r w:rsidRPr="00F31BAF">
        <w:rPr>
          <w:rFonts w:ascii="SkolaSans" w:hAnsi="SkolaSans" w:cs="TimesNewRomanPSMT"/>
        </w:rPr>
        <w:t xml:space="preserve">конечен заклучок за </w:t>
      </w:r>
      <w:r w:rsidR="00843CAF" w:rsidRPr="00F31BAF">
        <w:rPr>
          <w:rFonts w:ascii="SkolaSans" w:hAnsi="SkolaSans" w:cs="TimesNewRomanPSMT"/>
        </w:rPr>
        <w:t xml:space="preserve">точниот </w:t>
      </w:r>
      <w:r w:rsidRPr="00F31BAF">
        <w:rPr>
          <w:rFonts w:ascii="SkolaSans" w:hAnsi="SkolaSans" w:cs="TimesNewRomanPSMT"/>
        </w:rPr>
        <w:t>пазар на стоки.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Доколку под </w:t>
      </w:r>
      <w:r w:rsidR="00843CAF" w:rsidRPr="00F31BAF">
        <w:rPr>
          <w:rFonts w:ascii="SkolaSans" w:hAnsi="SkolaSans" w:cs="TimesNewRomanPSMT"/>
        </w:rPr>
        <w:t xml:space="preserve">можните </w:t>
      </w:r>
      <w:r w:rsidRPr="00F31BAF">
        <w:rPr>
          <w:rFonts w:ascii="SkolaSans" w:hAnsi="SkolaSans" w:cs="TimesNewRomanPSMT"/>
        </w:rPr>
        <w:t xml:space="preserve">алтернативни дефиниции </w:t>
      </w:r>
      <w:r w:rsidR="00843CAF" w:rsidRPr="00F31BAF">
        <w:rPr>
          <w:rFonts w:ascii="SkolaSans" w:hAnsi="SkolaSans" w:cs="TimesNewRomanPSMT"/>
        </w:rPr>
        <w:t>н</w:t>
      </w:r>
      <w:r w:rsidRPr="00F31BAF">
        <w:rPr>
          <w:rFonts w:ascii="SkolaSans" w:hAnsi="SkolaSans" w:cs="TimesNewRomanPSMT"/>
        </w:rPr>
        <w:t>а пазарот активностите кои се предмет на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испитување не доведуваат до </w:t>
      </w:r>
      <w:r w:rsidR="00843CAF" w:rsidRPr="00F31BAF">
        <w:rPr>
          <w:rFonts w:ascii="SkolaSans" w:hAnsi="SkolaSans" w:cs="TimesNewRomanPSMT"/>
        </w:rPr>
        <w:t xml:space="preserve">загриженост </w:t>
      </w:r>
      <w:r w:rsidRPr="00F31BAF">
        <w:rPr>
          <w:rFonts w:ascii="SkolaSans" w:hAnsi="SkolaSans" w:cs="TimesNewRomanPSMT"/>
        </w:rPr>
        <w:t>за конкуренцијата, прашањето за дефинирање на</w:t>
      </w:r>
      <w:r w:rsidR="0029671F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пазарот ќе </w:t>
      </w:r>
      <w:r w:rsidR="00843CAF" w:rsidRPr="00F31BAF">
        <w:rPr>
          <w:rFonts w:ascii="SkolaSans" w:hAnsi="SkolaSans" w:cs="TimesNewRomanPSMT"/>
        </w:rPr>
        <w:t xml:space="preserve">биде </w:t>
      </w:r>
      <w:r w:rsidRPr="00F31BAF">
        <w:rPr>
          <w:rFonts w:ascii="SkolaSans" w:hAnsi="SkolaSans" w:cs="TimesNewRomanPSMT"/>
        </w:rPr>
        <w:t>остав</w:t>
      </w:r>
      <w:r w:rsidR="00843CAF" w:rsidRPr="00F31BAF">
        <w:rPr>
          <w:rFonts w:ascii="SkolaSans" w:hAnsi="SkolaSans" w:cs="TimesNewRomanPSMT"/>
        </w:rPr>
        <w:t>ено</w:t>
      </w:r>
      <w:r w:rsidRPr="00F31BAF">
        <w:rPr>
          <w:rFonts w:ascii="SkolaSans" w:hAnsi="SkolaSans" w:cs="TimesNewRomanPSMT"/>
        </w:rPr>
        <w:t xml:space="preserve"> отворено, </w:t>
      </w:r>
      <w:r w:rsidR="00843CAF" w:rsidRPr="00F31BAF">
        <w:rPr>
          <w:rFonts w:ascii="SkolaSans" w:hAnsi="SkolaSans" w:cs="TimesNewRomanPSMT"/>
        </w:rPr>
        <w:t xml:space="preserve">на тој начин </w:t>
      </w:r>
      <w:r w:rsidRPr="00F31BAF">
        <w:rPr>
          <w:rFonts w:ascii="SkolaSans" w:hAnsi="SkolaSans" w:cs="TimesNewRomanPSMT"/>
        </w:rPr>
        <w:t xml:space="preserve">намалувајќи </w:t>
      </w:r>
      <w:r w:rsidRPr="00F31BAF">
        <w:rPr>
          <w:rFonts w:ascii="SkolaSans" w:hAnsi="SkolaSans" w:cs="TimesNewRomanPS-BoldMT"/>
        </w:rPr>
        <w:t>го товарот на претпријатијата за</w:t>
      </w:r>
      <w:r w:rsidR="00152F80" w:rsidRPr="00F31BAF">
        <w:rPr>
          <w:rFonts w:ascii="SkolaSans" w:hAnsi="SkolaSans" w:cs="TimesNewRomanPS-BoldMT"/>
        </w:rPr>
        <w:t xml:space="preserve"> </w:t>
      </w:r>
      <w:r w:rsidRPr="00F31BAF">
        <w:rPr>
          <w:rFonts w:ascii="SkolaSans" w:hAnsi="SkolaSans" w:cs="TimesNewRomanPS-BoldMT"/>
        </w:rPr>
        <w:t>доставување на информации</w:t>
      </w:r>
      <w:r w:rsidRPr="00F31BAF">
        <w:rPr>
          <w:rFonts w:ascii="SkolaSans" w:hAnsi="SkolaSans" w:cs="TimesNewRomanPSMT"/>
        </w:rPr>
        <w:t>.</w:t>
      </w:r>
    </w:p>
    <w:p w:rsidR="003802A0" w:rsidRDefault="00DE2669">
      <w:pPr>
        <w:pStyle w:val="Heading3"/>
        <w:spacing w:before="0" w:after="120"/>
        <w:ind w:firstLine="426"/>
        <w:rPr>
          <w:rFonts w:ascii="SkolaSans" w:hAnsi="SkolaSans"/>
        </w:rPr>
      </w:pPr>
      <w:bookmarkStart w:id="19" w:name="_Toc292717608"/>
      <w:r w:rsidRPr="00F31BAF">
        <w:rPr>
          <w:rFonts w:ascii="SkolaSans" w:hAnsi="SkolaSans"/>
          <w:color w:val="auto"/>
        </w:rPr>
        <w:lastRenderedPageBreak/>
        <w:t xml:space="preserve">1.2 </w:t>
      </w:r>
      <w:r w:rsidR="002A1C76" w:rsidRPr="00F31BAF">
        <w:rPr>
          <w:rFonts w:ascii="SkolaSans" w:hAnsi="SkolaSans"/>
          <w:color w:val="auto"/>
        </w:rPr>
        <w:t xml:space="preserve"> </w:t>
      </w:r>
      <w:r w:rsidR="00F83E03" w:rsidRPr="00F31BAF">
        <w:rPr>
          <w:rFonts w:ascii="SkolaSans" w:hAnsi="SkolaSans"/>
          <w:color w:val="auto"/>
        </w:rPr>
        <w:t>Релевантен географски пазар</w:t>
      </w:r>
      <w:bookmarkEnd w:id="19"/>
    </w:p>
    <w:p w:rsidR="00F83E03" w:rsidRPr="00F31BAF" w:rsidRDefault="00F83E03" w:rsidP="00E03F7F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Пристапот на Комисијата кон дефиницијата на географскиот пазар може да се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сумира на следниов начин: таа ќе </w:t>
      </w:r>
      <w:r w:rsidR="00FF47AD" w:rsidRPr="00F31BAF">
        <w:rPr>
          <w:rFonts w:ascii="SkolaSans" w:hAnsi="SkolaSans" w:cs="TimesNewRomanPSMT"/>
        </w:rPr>
        <w:t xml:space="preserve">направи </w:t>
      </w:r>
      <w:r w:rsidRPr="00F31BAF">
        <w:rPr>
          <w:rFonts w:ascii="SkolaSans" w:hAnsi="SkolaSans" w:cs="TimesNewRomanPSMT"/>
        </w:rPr>
        <w:t>прелиминар</w:t>
      </w:r>
      <w:r w:rsidR="00FF47AD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н </w:t>
      </w:r>
      <w:r w:rsidR="00FF47AD" w:rsidRPr="00F31BAF">
        <w:rPr>
          <w:rFonts w:ascii="SkolaSans" w:hAnsi="SkolaSans" w:cs="TimesNewRomanPSMT"/>
        </w:rPr>
        <w:t xml:space="preserve">преглед </w:t>
      </w:r>
      <w:r w:rsidRPr="00F31BAF">
        <w:rPr>
          <w:rFonts w:ascii="SkolaSans" w:hAnsi="SkolaSans" w:cs="TimesNewRomanPSMT"/>
        </w:rPr>
        <w:t>на обемот на географскиот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пазар врз основа на широки индикации во поглед на распределбата на пазарните удели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помеѓу засегнатите претпријатија и нивните конкуренти, како и прелиминарни анализи на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цените и ценовните разлики на одделни територии на национално ниво. Овој иницијален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</w:t>
      </w:r>
      <w:r w:rsidR="006062B9" w:rsidRPr="00F31BAF">
        <w:rPr>
          <w:rFonts w:ascii="SkolaSans" w:hAnsi="SkolaSans" w:cs="TimesNewRomanPSMT"/>
        </w:rPr>
        <w:t xml:space="preserve">еглед </w:t>
      </w:r>
      <w:r w:rsidRPr="00F31BAF">
        <w:rPr>
          <w:rFonts w:ascii="SkolaSans" w:hAnsi="SkolaSans" w:cs="TimesNewRomanPSMT"/>
        </w:rPr>
        <w:t>вообичаено се користи како работна хипотеза за фокусирање на истражувањата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Комисијата за целите на изнаоѓање пре</w:t>
      </w:r>
      <w:r w:rsidR="002A1C76" w:rsidRPr="00F31BAF">
        <w:rPr>
          <w:rFonts w:ascii="SkolaSans" w:hAnsi="SkolaSans" w:cs="TimesNewRomanPSMT"/>
        </w:rPr>
        <w:t>ци</w:t>
      </w:r>
      <w:r w:rsidRPr="00F31BAF">
        <w:rPr>
          <w:rFonts w:ascii="SkolaSans" w:hAnsi="SkolaSans" w:cs="TimesNewRomanPSMT"/>
        </w:rPr>
        <w:t xml:space="preserve">зна дефиниција </w:t>
      </w:r>
      <w:r w:rsidR="006062B9" w:rsidRPr="00F31BAF">
        <w:rPr>
          <w:rFonts w:ascii="SkolaSans" w:hAnsi="SkolaSans" w:cs="TimesNewRomanPSMT"/>
        </w:rPr>
        <w:t>н</w:t>
      </w:r>
      <w:r w:rsidRPr="00F31BAF">
        <w:rPr>
          <w:rFonts w:ascii="SkolaSans" w:hAnsi="SkolaSans" w:cs="TimesNewRomanPSMT"/>
        </w:rPr>
        <w:t>а географскиот пазар.</w:t>
      </w:r>
    </w:p>
    <w:p w:rsidR="003802A0" w:rsidRDefault="006062B9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Треба да се испитаат п</w:t>
      </w:r>
      <w:r w:rsidR="00F83E03" w:rsidRPr="00F31BAF">
        <w:rPr>
          <w:rFonts w:ascii="SkolaSans" w:hAnsi="SkolaSans" w:cs="TimesNewRomanPSMT"/>
        </w:rPr>
        <w:t xml:space="preserve">ричините </w:t>
      </w:r>
      <w:r w:rsidRPr="00F31BAF">
        <w:rPr>
          <w:rFonts w:ascii="SkolaSans" w:hAnsi="SkolaSans" w:cs="TimesNewRomanPSMT"/>
        </w:rPr>
        <w:t xml:space="preserve">за </w:t>
      </w:r>
      <w:r w:rsidR="002A1C76" w:rsidRPr="00F31BAF">
        <w:rPr>
          <w:rFonts w:ascii="SkolaSans" w:hAnsi="SkolaSans" w:cs="TimesNewRomanPSMT"/>
        </w:rPr>
        <w:t>секо</w:t>
      </w:r>
      <w:r w:rsidRPr="00F31BAF">
        <w:rPr>
          <w:rFonts w:ascii="SkolaSans" w:hAnsi="SkolaSans" w:cs="TimesNewRomanPSMT"/>
        </w:rPr>
        <w:t xml:space="preserve">е особено одредување </w:t>
      </w:r>
      <w:r w:rsidR="00F83E03" w:rsidRPr="00F31BAF">
        <w:rPr>
          <w:rFonts w:ascii="SkolaSans" w:hAnsi="SkolaSans" w:cs="TimesNewRomanPSMT"/>
        </w:rPr>
        <w:t>на цени и пазарни удели. Претпријатијата може да</w:t>
      </w:r>
      <w:r w:rsidRPr="00F31BAF">
        <w:rPr>
          <w:rFonts w:ascii="SkolaSans" w:hAnsi="SkolaSans" w:cs="TimesNewRomanPSMT"/>
        </w:rPr>
        <w:t xml:space="preserve"> имаат</w:t>
      </w:r>
      <w:r w:rsidR="00F83E03" w:rsidRPr="00F31BAF">
        <w:rPr>
          <w:rFonts w:ascii="SkolaSans" w:hAnsi="SkolaSans" w:cs="TimesNewRomanPSMT"/>
        </w:rPr>
        <w:t xml:space="preserve"> високи пазарни удели на нивните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домашни пазари </w:t>
      </w:r>
      <w:r w:rsidRPr="00F31BAF">
        <w:rPr>
          <w:rFonts w:ascii="SkolaSans" w:hAnsi="SkolaSans" w:cs="TimesNewRomanPSMT"/>
        </w:rPr>
        <w:t xml:space="preserve">само </w:t>
      </w:r>
      <w:r w:rsidR="00F83E03" w:rsidRPr="00F31BAF">
        <w:rPr>
          <w:rFonts w:ascii="SkolaSans" w:hAnsi="SkolaSans" w:cs="TimesNewRomanPSMT"/>
        </w:rPr>
        <w:t xml:space="preserve">како резултат на </w:t>
      </w:r>
      <w:r w:rsidRPr="00F31BAF">
        <w:rPr>
          <w:rFonts w:ascii="SkolaSans" w:hAnsi="SkolaSans" w:cs="TimesNewRomanPSMT"/>
        </w:rPr>
        <w:t xml:space="preserve">нивното </w:t>
      </w:r>
      <w:r w:rsidR="00F83E03" w:rsidRPr="00F31BAF">
        <w:rPr>
          <w:rFonts w:ascii="SkolaSans" w:hAnsi="SkolaSans" w:cs="TimesNewRomanPSMT"/>
        </w:rPr>
        <w:t>значење</w:t>
      </w:r>
      <w:r w:rsidRPr="00F31BAF">
        <w:rPr>
          <w:rFonts w:ascii="SkolaSans" w:hAnsi="SkolaSans" w:cs="TimesNewRomanPSMT"/>
        </w:rPr>
        <w:t xml:space="preserve"> во</w:t>
      </w:r>
      <w:r w:rsidR="00F83E03" w:rsidRPr="00F31BAF">
        <w:rPr>
          <w:rFonts w:ascii="SkolaSans" w:hAnsi="SkolaSans" w:cs="TimesNewRomanPSMT"/>
        </w:rPr>
        <w:t xml:space="preserve"> минатото. </w:t>
      </w:r>
      <w:r w:rsidRPr="00F31BAF">
        <w:rPr>
          <w:rFonts w:ascii="SkolaSans" w:hAnsi="SkolaSans" w:cs="TimesNewRomanPSMT"/>
        </w:rPr>
        <w:t>Затоа почетната</w:t>
      </w:r>
      <w:r w:rsidR="00F83E03" w:rsidRPr="00F31BAF">
        <w:rPr>
          <w:rFonts w:ascii="SkolaSans" w:hAnsi="SkolaSans" w:cs="TimesNewRomanPSMT"/>
        </w:rPr>
        <w:t xml:space="preserve"> работн</w:t>
      </w:r>
      <w:r w:rsidRPr="00F31BAF">
        <w:rPr>
          <w:rFonts w:ascii="SkolaSans" w:hAnsi="SkolaSans" w:cs="TimesNewRomanPSMT"/>
        </w:rPr>
        <w:t>а</w:t>
      </w:r>
      <w:r w:rsidR="00F83E03" w:rsidRPr="00F31BAF">
        <w:rPr>
          <w:rFonts w:ascii="SkolaSans" w:hAnsi="SkolaSans" w:cs="TimesNewRomanPSMT"/>
        </w:rPr>
        <w:t xml:space="preserve"> хипотез</w:t>
      </w:r>
      <w:r w:rsidRPr="00F31BAF">
        <w:rPr>
          <w:rFonts w:ascii="SkolaSans" w:hAnsi="SkolaSans" w:cs="TimesNewRomanPSMT"/>
        </w:rPr>
        <w:t>а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ќе бид</w:t>
      </w:r>
      <w:r w:rsidRPr="00F31BAF">
        <w:rPr>
          <w:rFonts w:ascii="SkolaSans" w:hAnsi="SkolaSans" w:cs="TimesNewRomanPSMT"/>
        </w:rPr>
        <w:t xml:space="preserve">е </w:t>
      </w:r>
      <w:r w:rsidR="00F83E03" w:rsidRPr="00F31BAF">
        <w:rPr>
          <w:rFonts w:ascii="SkolaSans" w:hAnsi="SkolaSans" w:cs="TimesNewRomanPSMT"/>
        </w:rPr>
        <w:t>проверен</w:t>
      </w:r>
      <w:r w:rsidRPr="00F31BAF">
        <w:rPr>
          <w:rFonts w:ascii="SkolaSans" w:hAnsi="SkolaSans" w:cs="TimesNewRomanPSMT"/>
        </w:rPr>
        <w:t>а</w:t>
      </w:r>
      <w:r w:rsidR="00F83E03" w:rsidRPr="00F31BAF">
        <w:rPr>
          <w:rFonts w:ascii="SkolaSans" w:hAnsi="SkolaSans" w:cs="TimesNewRomanPSMT"/>
        </w:rPr>
        <w:t xml:space="preserve"> преку споредба со анализ</w:t>
      </w:r>
      <w:r w:rsidRPr="00F31BAF">
        <w:rPr>
          <w:rFonts w:ascii="SkolaSans" w:hAnsi="SkolaSans" w:cs="TimesNewRomanPSMT"/>
        </w:rPr>
        <w:t>ата</w:t>
      </w:r>
      <w:r w:rsidR="00F83E03" w:rsidRPr="00F31BAF">
        <w:rPr>
          <w:rFonts w:ascii="SkolaSans" w:hAnsi="SkolaSans" w:cs="TimesNewRomanPSMT"/>
        </w:rPr>
        <w:t xml:space="preserve"> на карактеристик</w:t>
      </w:r>
      <w:r w:rsidR="002A1C76" w:rsidRPr="00F31BAF">
        <w:rPr>
          <w:rFonts w:ascii="SkolaSans" w:hAnsi="SkolaSans" w:cs="TimesNewRomanPSMT"/>
        </w:rPr>
        <w:t>и</w:t>
      </w:r>
      <w:r w:rsidR="00F83E03" w:rsidRPr="00F31BAF">
        <w:rPr>
          <w:rFonts w:ascii="SkolaSans" w:hAnsi="SkolaSans" w:cs="TimesNewRomanPSMT"/>
        </w:rPr>
        <w:t>те на побарувачката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(значењето на националните или локалните преференции, тековните навики </w:t>
      </w:r>
      <w:r w:rsidRPr="00F31BAF">
        <w:rPr>
          <w:rFonts w:ascii="SkolaSans" w:hAnsi="SkolaSans" w:cs="TimesNewRomanPSMT"/>
        </w:rPr>
        <w:t>з</w:t>
      </w:r>
      <w:r w:rsidR="00F83E03" w:rsidRPr="00F31BAF">
        <w:rPr>
          <w:rFonts w:ascii="SkolaSans" w:hAnsi="SkolaSans" w:cs="TimesNewRomanPSMT"/>
        </w:rPr>
        <w:t>а купување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на потрошувачите, разлики на стоките/марки и други) со цел да се утврди дали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претпријатијата во различни средини навистина претставуваат алтернативен извор на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снабдување за потрошувачите. Теоретскиот експеримент повторно се заснова на</w:t>
      </w:r>
      <w:r w:rsidR="00F83E03" w:rsidRPr="00F31BAF">
        <w:rPr>
          <w:rFonts w:ascii="SkolaSans" w:hAnsi="SkolaSans" w:cs="TimesNewRomanPSMT"/>
          <w:lang w:val="en-US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супституција која произлегува од промените во цените, и </w:t>
      </w:r>
      <w:r w:rsidR="00960FD7" w:rsidRPr="00F31BAF">
        <w:rPr>
          <w:rFonts w:ascii="SkolaSans" w:hAnsi="SkolaSans" w:cs="TimesNewRomanPSMT"/>
        </w:rPr>
        <w:t xml:space="preserve">повторно </w:t>
      </w:r>
      <w:r w:rsidR="00F83E03" w:rsidRPr="00F31BAF">
        <w:rPr>
          <w:rFonts w:ascii="SkolaSans" w:hAnsi="SkolaSans" w:cs="TimesNewRomanPSMT"/>
        </w:rPr>
        <w:t>прашањето кое треба да се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одговори е дали купувачите на засегнатите претпријатија ќе ги заменат </w:t>
      </w:r>
      <w:r w:rsidR="00960FD7" w:rsidRPr="00F31BAF">
        <w:rPr>
          <w:rFonts w:ascii="SkolaSans" w:hAnsi="SkolaSans" w:cs="TimesNewRomanPSMT"/>
        </w:rPr>
        <w:t xml:space="preserve">нивните </w:t>
      </w:r>
      <w:r w:rsidR="00F83E03" w:rsidRPr="00F31BAF">
        <w:rPr>
          <w:rFonts w:ascii="SkolaSans" w:hAnsi="SkolaSans" w:cs="TimesNewRomanPSMT"/>
        </w:rPr>
        <w:t>нарачки</w:t>
      </w:r>
      <w:r w:rsidR="00152F80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кон претпријатија лоцирани на друго место </w:t>
      </w:r>
      <w:r w:rsidR="00960FD7" w:rsidRPr="00F31BAF">
        <w:rPr>
          <w:rFonts w:ascii="SkolaSans" w:hAnsi="SkolaSans" w:cs="TimesNewRomanPSMT"/>
        </w:rPr>
        <w:t xml:space="preserve">во </w:t>
      </w:r>
      <w:r w:rsidR="00F83E03" w:rsidRPr="00F31BAF">
        <w:rPr>
          <w:rFonts w:ascii="SkolaSans" w:hAnsi="SkolaSans" w:cs="TimesNewRomanPSMT"/>
        </w:rPr>
        <w:t>к</w:t>
      </w:r>
      <w:r w:rsidR="00960FD7" w:rsidRPr="00F31BAF">
        <w:rPr>
          <w:rFonts w:ascii="SkolaSans" w:hAnsi="SkolaSans" w:cs="TimesNewRomanPSMT"/>
        </w:rPr>
        <w:t xml:space="preserve">раток </w:t>
      </w:r>
      <w:r w:rsidR="00F83E03" w:rsidRPr="00F31BAF">
        <w:rPr>
          <w:rFonts w:ascii="SkolaSans" w:hAnsi="SkolaSans" w:cs="TimesNewRomanPSMT"/>
        </w:rPr>
        <w:t xml:space="preserve">рок и </w:t>
      </w:r>
      <w:r w:rsidR="00960FD7" w:rsidRPr="00F31BAF">
        <w:rPr>
          <w:rFonts w:ascii="SkolaSans" w:hAnsi="SkolaSans" w:cs="TimesNewRomanPSMT"/>
        </w:rPr>
        <w:t xml:space="preserve">по цена на </w:t>
      </w:r>
      <w:r w:rsidR="00F83E03" w:rsidRPr="00F31BAF">
        <w:rPr>
          <w:rFonts w:ascii="SkolaSans" w:hAnsi="SkolaSans" w:cs="TimesNewRomanPSMT"/>
        </w:rPr>
        <w:t>незначителни трошоци.</w:t>
      </w:r>
      <w:r w:rsidR="00152F80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Доколку е потребно, ќе биде извршена понатамошна проверка на факторите за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снабдување со цел да се осигура дека тие претпријатија лоцирани на различни територии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не се соочуваат со пречки во развојот на нивните продажби во конкурент</w:t>
      </w:r>
      <w:r w:rsidR="00E8610F" w:rsidRPr="00F31BAF">
        <w:rPr>
          <w:rFonts w:ascii="SkolaSans" w:hAnsi="SkolaSans" w:cs="TimesNewRomanPSMT"/>
        </w:rPr>
        <w:t>с</w:t>
      </w:r>
      <w:r w:rsidRPr="00F31BAF">
        <w:rPr>
          <w:rFonts w:ascii="SkolaSans" w:hAnsi="SkolaSans" w:cs="TimesNewRomanPSMT"/>
        </w:rPr>
        <w:t>ки услови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ширум целиот географски пазар. Овие анализи ќе вклуч</w:t>
      </w:r>
      <w:r w:rsidR="00A07D24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испитување на барањата за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локално присуство со цел</w:t>
      </w:r>
      <w:r w:rsidR="00A07D24" w:rsidRPr="00F31BAF">
        <w:rPr>
          <w:rFonts w:ascii="SkolaSans" w:hAnsi="SkolaSans" w:cs="TimesNewRomanPSMT"/>
        </w:rPr>
        <w:t xml:space="preserve"> во таа средина </w:t>
      </w:r>
      <w:r w:rsidRPr="00F31BAF">
        <w:rPr>
          <w:rFonts w:ascii="SkolaSans" w:hAnsi="SkolaSans" w:cs="TimesNewRomanPSMT"/>
        </w:rPr>
        <w:t xml:space="preserve">да се </w:t>
      </w:r>
      <w:r w:rsidR="00A07D24" w:rsidRPr="00F31BAF">
        <w:rPr>
          <w:rFonts w:ascii="SkolaSans" w:hAnsi="SkolaSans" w:cs="TimesNewRomanPSMT"/>
        </w:rPr>
        <w:t>тргува со</w:t>
      </w:r>
      <w:r w:rsidRPr="00F31BAF">
        <w:rPr>
          <w:rFonts w:ascii="SkolaSans" w:hAnsi="SkolaSans" w:cs="TimesNewRomanPSMT"/>
        </w:rPr>
        <w:t xml:space="preserve"> условите за пристап кон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дистрибутивните канали, трошоците врзани со воспоставување на дистрибутивна мрежа, и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присуството или отсуството на регулаторни бариери кои произлегуваат од јавни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набавки, регулирани цени, квоти и тарифи кои ја ограничуваат трговијата или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производството, технички стандарди, монополи, слобода на основање, </w:t>
      </w:r>
      <w:r w:rsidR="00A07D24" w:rsidRPr="00F31BAF">
        <w:rPr>
          <w:rFonts w:ascii="SkolaSans" w:hAnsi="SkolaSans" w:cs="TimesNewRomanPSMT"/>
        </w:rPr>
        <w:t xml:space="preserve">барања </w:t>
      </w:r>
      <w:r w:rsidRPr="00F31BAF">
        <w:rPr>
          <w:rFonts w:ascii="SkolaSans" w:hAnsi="SkolaSans" w:cs="TimesNewRomanPSMT"/>
        </w:rPr>
        <w:t>за</w:t>
      </w:r>
      <w:r w:rsidR="00152F80" w:rsidRPr="00F31BAF">
        <w:rPr>
          <w:rFonts w:ascii="SkolaSans" w:hAnsi="SkolaSans" w:cs="TimesNewRomanPSMT"/>
        </w:rPr>
        <w:t xml:space="preserve"> </w:t>
      </w:r>
      <w:r w:rsidR="00A07D24" w:rsidRPr="00F31BAF">
        <w:rPr>
          <w:rFonts w:ascii="SkolaSans" w:hAnsi="SkolaSans" w:cs="TimesNewRomanPSMT"/>
        </w:rPr>
        <w:t xml:space="preserve">административни </w:t>
      </w:r>
      <w:r w:rsidRPr="00F31BAF">
        <w:rPr>
          <w:rFonts w:ascii="SkolaSans" w:hAnsi="SkolaSans" w:cs="TimesNewRomanPSMT"/>
        </w:rPr>
        <w:t xml:space="preserve">овластувања, </w:t>
      </w:r>
      <w:r w:rsidR="00A07D24" w:rsidRPr="00F31BAF">
        <w:rPr>
          <w:rFonts w:ascii="SkolaSans" w:hAnsi="SkolaSans" w:cs="TimesNewRomanPSMT"/>
        </w:rPr>
        <w:t xml:space="preserve">прописи </w:t>
      </w:r>
      <w:r w:rsidRPr="00F31BAF">
        <w:rPr>
          <w:rFonts w:ascii="SkolaSans" w:hAnsi="SkolaSans" w:cs="TimesNewRomanPSMT"/>
        </w:rPr>
        <w:t>за пакувањ</w:t>
      </w:r>
      <w:r w:rsidR="00A07D24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>, и</w:t>
      </w:r>
      <w:r w:rsidR="00A07D24" w:rsidRPr="00F31BAF">
        <w:rPr>
          <w:rFonts w:ascii="SkolaSans" w:hAnsi="SkolaSans" w:cs="TimesNewRomanPSMT"/>
        </w:rPr>
        <w:t>тн</w:t>
      </w:r>
      <w:r w:rsidRPr="00F31BAF">
        <w:rPr>
          <w:rFonts w:ascii="SkolaSans" w:hAnsi="SkolaSans" w:cs="TimesNewRomanPSMT"/>
        </w:rPr>
        <w:t>. Накусо, Комисијата ќе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идентификува можни пречки и бариери кои ги изолираат претпријатијата лоцирани на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дадена територија од конкурентскиот притисок на претпријатијата лоцирани надвор од таа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територија, за да </w:t>
      </w:r>
      <w:r w:rsidR="00A07D24" w:rsidRPr="00F31BAF">
        <w:rPr>
          <w:rFonts w:ascii="SkolaSans" w:hAnsi="SkolaSans" w:cs="TimesNewRomanPSMT"/>
        </w:rPr>
        <w:t xml:space="preserve">го </w:t>
      </w:r>
      <w:r w:rsidRPr="00F31BAF">
        <w:rPr>
          <w:rFonts w:ascii="SkolaSans" w:hAnsi="SkolaSans" w:cs="TimesNewRomanPSMT"/>
        </w:rPr>
        <w:t xml:space="preserve">утврди прецизниот степен на </w:t>
      </w:r>
      <w:r w:rsidR="00B879B0" w:rsidRPr="00F31BAF">
        <w:rPr>
          <w:rFonts w:ascii="SkolaSans" w:hAnsi="SkolaSans" w:cs="TimesNewRomanPSMT"/>
        </w:rPr>
        <w:t xml:space="preserve">пробив на </w:t>
      </w:r>
      <w:r w:rsidRPr="00F31BAF">
        <w:rPr>
          <w:rFonts w:ascii="SkolaSans" w:hAnsi="SkolaSans" w:cs="TimesNewRomanPSMT"/>
        </w:rPr>
        <w:t>пазар</w:t>
      </w:r>
      <w:r w:rsidR="00B879B0" w:rsidRPr="00F31BAF">
        <w:rPr>
          <w:rFonts w:ascii="SkolaSans" w:hAnsi="SkolaSans" w:cs="TimesNewRomanPSMT"/>
        </w:rPr>
        <w:t xml:space="preserve">от </w:t>
      </w:r>
      <w:r w:rsidRPr="00F31BAF">
        <w:rPr>
          <w:rFonts w:ascii="SkolaSans" w:hAnsi="SkolaSans" w:cs="TimesNewRomanPSMT"/>
        </w:rPr>
        <w:t>на национално,</w:t>
      </w:r>
      <w:r w:rsidR="00152F8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европско или глобално ниво.</w:t>
      </w:r>
    </w:p>
    <w:p w:rsidR="003802A0" w:rsidRDefault="00D220B1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Сегашната </w:t>
      </w:r>
      <w:r w:rsidR="00F83E03" w:rsidRPr="00F31BAF">
        <w:rPr>
          <w:rFonts w:ascii="SkolaSans" w:hAnsi="SkolaSans" w:cs="TimesNewRomanPSMT"/>
        </w:rPr>
        <w:t>слика и еволуција на трговските текови нуд</w:t>
      </w:r>
      <w:r w:rsidRPr="00F31BAF">
        <w:rPr>
          <w:rFonts w:ascii="SkolaSans" w:hAnsi="SkolaSans" w:cs="TimesNewRomanPSMT"/>
        </w:rPr>
        <w:t>ат</w:t>
      </w:r>
      <w:r w:rsidR="00F83E03" w:rsidRPr="00F31BAF">
        <w:rPr>
          <w:rFonts w:ascii="SkolaSans" w:hAnsi="SkolaSans" w:cs="TimesNewRomanPSMT"/>
        </w:rPr>
        <w:t xml:space="preserve"> корисни дополнителни</w:t>
      </w:r>
      <w:r w:rsidR="00244786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индикации за економското значење на секој од горенаведените фактори на понуда или</w:t>
      </w:r>
      <w:r w:rsidR="00244786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 xml:space="preserve">побарувачка, и обемот до кој тие можат или не можат да </w:t>
      </w:r>
      <w:r w:rsidRPr="00F31BAF">
        <w:rPr>
          <w:rFonts w:ascii="SkolaSans" w:hAnsi="SkolaSans" w:cs="TimesNewRomanPSMT"/>
        </w:rPr>
        <w:t xml:space="preserve">претставуваат вистински </w:t>
      </w:r>
      <w:r w:rsidR="00F83E03" w:rsidRPr="00F31BAF">
        <w:rPr>
          <w:rFonts w:ascii="SkolaSans" w:hAnsi="SkolaSans" w:cs="TimesNewRomanPSMT"/>
        </w:rPr>
        <w:t>бариери кои создаваат различни географски пазари. Анализите на трговските текови</w:t>
      </w:r>
      <w:r w:rsidR="00E8610F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генерално ќе се однесуваат на прашањата за транспортните трошоци и обемот до кој т</w:t>
      </w:r>
      <w:r w:rsidR="005F58D7" w:rsidRPr="00F31BAF">
        <w:rPr>
          <w:rFonts w:ascii="SkolaSans" w:hAnsi="SkolaSans" w:cs="TimesNewRomanPSMT"/>
        </w:rPr>
        <w:t xml:space="preserve">ие </w:t>
      </w:r>
      <w:r w:rsidR="00F83E03" w:rsidRPr="00F31BAF">
        <w:rPr>
          <w:rFonts w:ascii="SkolaSans" w:hAnsi="SkolaSans" w:cs="TimesNewRomanPSMT"/>
        </w:rPr>
        <w:t xml:space="preserve">може да </w:t>
      </w:r>
      <w:r w:rsidR="005F58D7" w:rsidRPr="00F31BAF">
        <w:rPr>
          <w:rFonts w:ascii="SkolaSans" w:hAnsi="SkolaSans" w:cs="TimesNewRomanPSMT"/>
        </w:rPr>
        <w:t xml:space="preserve">ја нарушат </w:t>
      </w:r>
      <w:r w:rsidR="00F83E03" w:rsidRPr="00F31BAF">
        <w:rPr>
          <w:rFonts w:ascii="SkolaSans" w:hAnsi="SkolaSans" w:cs="TimesNewRomanPSMT"/>
        </w:rPr>
        <w:t xml:space="preserve">трговијата помеѓу различни </w:t>
      </w:r>
      <w:r w:rsidR="005F58D7" w:rsidRPr="00F31BAF">
        <w:rPr>
          <w:rFonts w:ascii="SkolaSans" w:hAnsi="SkolaSans" w:cs="TimesNewRomanPSMT"/>
        </w:rPr>
        <w:t>области</w:t>
      </w:r>
      <w:r w:rsidR="00F83E03" w:rsidRPr="00F31BAF">
        <w:rPr>
          <w:rFonts w:ascii="SkolaSans" w:hAnsi="SkolaSans" w:cs="TimesNewRomanPSMT"/>
        </w:rPr>
        <w:t xml:space="preserve">, имајќи </w:t>
      </w:r>
      <w:r w:rsidR="005F58D7" w:rsidRPr="00F31BAF">
        <w:rPr>
          <w:rFonts w:ascii="SkolaSans" w:hAnsi="SkolaSans" w:cs="TimesNewRomanPSMT"/>
        </w:rPr>
        <w:t xml:space="preserve">ја </w:t>
      </w:r>
      <w:r w:rsidR="00F83E03" w:rsidRPr="00F31BAF">
        <w:rPr>
          <w:rFonts w:ascii="SkolaSans" w:hAnsi="SkolaSans" w:cs="TimesNewRomanPSMT"/>
        </w:rPr>
        <w:t>во предвид</w:t>
      </w:r>
      <w:r w:rsidR="00244786" w:rsidRPr="00F31BAF">
        <w:rPr>
          <w:rFonts w:ascii="SkolaSans" w:hAnsi="SkolaSans" w:cs="TimesNewRomanPSMT"/>
        </w:rPr>
        <w:t xml:space="preserve"> </w:t>
      </w:r>
      <w:r w:rsidR="00F83E03" w:rsidRPr="00F31BAF">
        <w:rPr>
          <w:rFonts w:ascii="SkolaSans" w:hAnsi="SkolaSans" w:cs="TimesNewRomanPSMT"/>
        </w:rPr>
        <w:t>локаци</w:t>
      </w:r>
      <w:r w:rsidR="005F58D7" w:rsidRPr="00F31BAF">
        <w:rPr>
          <w:rFonts w:ascii="SkolaSans" w:hAnsi="SkolaSans" w:cs="TimesNewRomanPSMT"/>
        </w:rPr>
        <w:t xml:space="preserve">јата </w:t>
      </w:r>
      <w:r w:rsidR="00F83E03" w:rsidRPr="00F31BAF">
        <w:rPr>
          <w:rFonts w:ascii="SkolaSans" w:hAnsi="SkolaSans" w:cs="TimesNewRomanPSMT"/>
        </w:rPr>
        <w:t>на фабрик</w:t>
      </w:r>
      <w:r w:rsidR="005F58D7" w:rsidRPr="00F31BAF">
        <w:rPr>
          <w:rFonts w:ascii="SkolaSans" w:hAnsi="SkolaSans" w:cs="TimesNewRomanPSMT"/>
        </w:rPr>
        <w:t>ата</w:t>
      </w:r>
      <w:r w:rsidR="00F83E03" w:rsidRPr="00F31BAF">
        <w:rPr>
          <w:rFonts w:ascii="SkolaSans" w:hAnsi="SkolaSans" w:cs="TimesNewRomanPSMT"/>
        </w:rPr>
        <w:t>, трошоците на производството и нивото на цените.</w:t>
      </w:r>
    </w:p>
    <w:p w:rsidR="003802A0" w:rsidRDefault="003802A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</w:p>
    <w:p w:rsidR="003802A0" w:rsidRDefault="00F83E03">
      <w:pPr>
        <w:pStyle w:val="Heading2"/>
        <w:spacing w:before="120" w:after="240"/>
        <w:rPr>
          <w:rFonts w:ascii="SkolaSans" w:hAnsi="SkolaSans"/>
        </w:rPr>
      </w:pPr>
      <w:bookmarkStart w:id="20" w:name="_Toc292717609"/>
      <w:r w:rsidRPr="00F31BAF">
        <w:rPr>
          <w:rFonts w:ascii="SkolaSans" w:hAnsi="SkolaSans"/>
          <w:color w:val="auto"/>
          <w:sz w:val="22"/>
          <w:szCs w:val="22"/>
        </w:rPr>
        <w:lastRenderedPageBreak/>
        <w:t>2. Прибавување на докази</w:t>
      </w:r>
      <w:bookmarkEnd w:id="20"/>
    </w:p>
    <w:p w:rsidR="003802A0" w:rsidRDefault="00F83E03">
      <w:pPr>
        <w:autoSpaceDE w:val="0"/>
        <w:autoSpaceDN w:val="0"/>
        <w:adjustRightInd w:val="0"/>
        <w:spacing w:before="12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Кога се смета за потребно да се утврди прецизна дефиниција на пазарот,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Комисијата често ќе</w:t>
      </w:r>
      <w:r w:rsidR="0053642C" w:rsidRPr="00F31BAF">
        <w:rPr>
          <w:rFonts w:ascii="SkolaSans" w:hAnsi="SkolaSans" w:cs="TimesNewRomanPSMT"/>
        </w:rPr>
        <w:t xml:space="preserve"> стапи во контакт со </w:t>
      </w:r>
      <w:r w:rsidRPr="00F31BAF">
        <w:rPr>
          <w:rFonts w:ascii="SkolaSans" w:hAnsi="SkolaSans" w:cs="TimesNewRomanPSMT"/>
        </w:rPr>
        <w:t>главните к</w:t>
      </w:r>
      <w:r w:rsidR="0053642C" w:rsidRPr="00F31BAF">
        <w:rPr>
          <w:rFonts w:ascii="SkolaSans" w:hAnsi="SkolaSans" w:cs="TimesNewRomanPSMT"/>
        </w:rPr>
        <w:t>лиенти</w:t>
      </w:r>
      <w:r w:rsidRPr="00F31BAF">
        <w:rPr>
          <w:rFonts w:ascii="SkolaSans" w:hAnsi="SkolaSans" w:cs="TimesNewRomanPSMT"/>
        </w:rPr>
        <w:t xml:space="preserve"> и претпријатија во</w:t>
      </w:r>
      <w:r w:rsidR="00244786" w:rsidRPr="00F31BAF">
        <w:rPr>
          <w:rFonts w:ascii="SkolaSans" w:hAnsi="SkolaSans" w:cs="TimesNewRomanPSMT"/>
        </w:rPr>
        <w:t xml:space="preserve"> </w:t>
      </w:r>
      <w:r w:rsidR="0053642C" w:rsidRPr="00F31BAF">
        <w:rPr>
          <w:rFonts w:ascii="SkolaSans" w:hAnsi="SkolaSans" w:cs="TimesNewRomanPSMT"/>
        </w:rPr>
        <w:t xml:space="preserve">стопанската гранка </w:t>
      </w:r>
      <w:r w:rsidRPr="00F31BAF">
        <w:rPr>
          <w:rFonts w:ascii="SkolaSans" w:hAnsi="SkolaSans" w:cs="TimesNewRomanPSMT"/>
        </w:rPr>
        <w:t xml:space="preserve">со цел да ги прибави нивните </w:t>
      </w:r>
      <w:r w:rsidR="0053642C" w:rsidRPr="00F31BAF">
        <w:rPr>
          <w:rFonts w:ascii="SkolaSans" w:hAnsi="SkolaSans" w:cs="TimesNewRomanPSMT"/>
        </w:rPr>
        <w:t xml:space="preserve">ставови </w:t>
      </w:r>
      <w:r w:rsidRPr="00F31BAF">
        <w:rPr>
          <w:rFonts w:ascii="SkolaSans" w:hAnsi="SkolaSans" w:cs="TimesNewRomanPSMT"/>
        </w:rPr>
        <w:t>за границите на пазарот на стоки 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географскиот пазар и да добие фактички докази</w:t>
      </w:r>
      <w:r w:rsidR="0053642C" w:rsidRPr="00F31BAF">
        <w:rPr>
          <w:rFonts w:ascii="SkolaSans" w:hAnsi="SkolaSans" w:cs="TimesNewRomanPSMT"/>
        </w:rPr>
        <w:t xml:space="preserve"> потребни</w:t>
      </w:r>
      <w:r w:rsidRPr="00F31BAF">
        <w:rPr>
          <w:rFonts w:ascii="SkolaSans" w:hAnsi="SkolaSans" w:cs="TimesNewRomanPSMT"/>
        </w:rPr>
        <w:t xml:space="preserve"> за донесување на заклучок.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Комисијата може исто така да </w:t>
      </w:r>
      <w:r w:rsidR="0051738C" w:rsidRPr="00F31BAF">
        <w:rPr>
          <w:rFonts w:ascii="SkolaSans" w:hAnsi="SkolaSans" w:cs="TimesNewRomanPSMT"/>
        </w:rPr>
        <w:t xml:space="preserve">стапи во контакт со </w:t>
      </w:r>
      <w:r w:rsidRPr="00F31BAF">
        <w:rPr>
          <w:rFonts w:ascii="SkolaSans" w:hAnsi="SkolaSans" w:cs="TimesNewRomanPSMT"/>
        </w:rPr>
        <w:t>релевантни професионални здруженија, и</w:t>
      </w:r>
      <w:r w:rsidR="0051738C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претпријатија активни на нагорните</w:t>
      </w:r>
      <w:r w:rsidR="0051738C" w:rsidRPr="00F31BAF">
        <w:rPr>
          <w:rFonts w:ascii="SkolaSans" w:hAnsi="SkolaSans" w:cs="TimesNewRomanPSMT"/>
        </w:rPr>
        <w:t xml:space="preserve"> (примарни)</w:t>
      </w:r>
      <w:r w:rsidRPr="00F31BAF">
        <w:rPr>
          <w:rFonts w:ascii="SkolaSans" w:hAnsi="SkolaSans" w:cs="TimesNewRomanPSMT"/>
        </w:rPr>
        <w:t xml:space="preserve"> пазари, со цел да може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да дефинира, доколку е тоа потребно, посебни пазари на стоки и посебни географски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пазари, за различни нивоа на производство или дистрибуција на засегнатите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стоки/услуги. Таа може исто така да побара дополнителни информации</w:t>
      </w:r>
      <w:r w:rsidR="002A2A71" w:rsidRPr="00F31BAF">
        <w:rPr>
          <w:rFonts w:ascii="SkolaSans" w:hAnsi="SkolaSans" w:cs="TimesNewRomanPSMT"/>
        </w:rPr>
        <w:t xml:space="preserve"> од</w:t>
      </w:r>
      <w:r w:rsidRPr="00F31BAF">
        <w:rPr>
          <w:rFonts w:ascii="SkolaSans" w:hAnsi="SkolaSans" w:cs="TimesNewRomanPSMT"/>
        </w:rPr>
        <w:t xml:space="preserve"> инволвираните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претпријатија.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Кога е тоа соодветно, Комисијата ќе се обрати со писмени барања за информации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до гореспоменатите пазарни учесници. Овие барања вообичаено ќе вклучуваат прашања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поврзани со перцепциите на претпријатијата за реакциите </w:t>
      </w:r>
      <w:r w:rsidR="00F54CCB" w:rsidRPr="00F31BAF">
        <w:rPr>
          <w:rFonts w:ascii="SkolaSans" w:hAnsi="SkolaSans" w:cs="TimesNewRomanPSMT"/>
        </w:rPr>
        <w:t xml:space="preserve">при </w:t>
      </w:r>
      <w:r w:rsidRPr="00F31BAF">
        <w:rPr>
          <w:rFonts w:ascii="SkolaSans" w:hAnsi="SkolaSans" w:cs="TimesNewRomanPSMT"/>
        </w:rPr>
        <w:t>хипотетички зголемувања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цените и нивните погледи за границите на релевантниот пазар. Тие исто така ќе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вклучуваат одредба за прибавување на фактичките информации кои Комисијата ги смета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 неопходни за донесување на заклучок за обемот на ре</w:t>
      </w:r>
      <w:r w:rsidR="00CF665A" w:rsidRPr="00F31BAF">
        <w:rPr>
          <w:rFonts w:ascii="SkolaSans" w:hAnsi="SkolaSans" w:cs="TimesNewRomanPSMT"/>
        </w:rPr>
        <w:t>ле</w:t>
      </w:r>
      <w:r w:rsidRPr="00F31BAF">
        <w:rPr>
          <w:rFonts w:ascii="SkolaSans" w:hAnsi="SkolaSans" w:cs="TimesNewRomanPSMT"/>
        </w:rPr>
        <w:t>вантниот пазар. Комисијата исто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така може да дискутира со директорите за маркетинг или други службеници на тие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претпријатија со цел да добие подобро согледување за тоа како се одвиваат преговорите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помеѓу понудувачите и купувачите и подобро да ги согледа прашањата поврзани со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дефиницијата на релевантниот пазар. Кога е тоа соодветно, Комисијата може исто така да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реализира посети или инспекции на просториите на засегнатите претпријатија, нивните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</w:t>
      </w:r>
      <w:r w:rsidR="00F54CCB" w:rsidRPr="00F31BAF">
        <w:rPr>
          <w:rFonts w:ascii="SkolaSans" w:hAnsi="SkolaSans" w:cs="TimesNewRomanPSMT"/>
        </w:rPr>
        <w:t xml:space="preserve">лиенти </w:t>
      </w:r>
      <w:r w:rsidRPr="00F31BAF">
        <w:rPr>
          <w:rFonts w:ascii="SkolaSans" w:hAnsi="SkolaSans" w:cs="TimesNewRomanPSMT"/>
        </w:rPr>
        <w:t>и/или нивните конкуренти, со цел подобро да согледа како се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произведуваат и продаваат</w:t>
      </w:r>
      <w:r w:rsidR="00F54CCB" w:rsidRPr="00F31BAF">
        <w:rPr>
          <w:rFonts w:ascii="SkolaSans" w:hAnsi="SkolaSans" w:cs="TimesNewRomanPSMT"/>
        </w:rPr>
        <w:t xml:space="preserve"> стоките</w:t>
      </w:r>
      <w:r w:rsidRPr="00F31BAF">
        <w:rPr>
          <w:rFonts w:ascii="SkolaSans" w:hAnsi="SkolaSans" w:cs="TimesNewRomanPSMT"/>
        </w:rPr>
        <w:t>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Видот на доказите релевантни за донесување на заклучок за пазарот на стоки може</w:t>
      </w:r>
      <w:r w:rsidR="00CF665A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да се категоризира на следниов начин:</w:t>
      </w:r>
    </w:p>
    <w:p w:rsidR="003802A0" w:rsidRDefault="003802A0">
      <w:pPr>
        <w:autoSpaceDE w:val="0"/>
        <w:autoSpaceDN w:val="0"/>
        <w:adjustRightInd w:val="0"/>
        <w:spacing w:after="120" w:line="240" w:lineRule="auto"/>
        <w:jc w:val="both"/>
        <w:rPr>
          <w:rFonts w:ascii="SkolaSans" w:hAnsi="SkolaSans" w:cs="TimesNewRomanPSMT"/>
        </w:rPr>
      </w:pPr>
    </w:p>
    <w:p w:rsidR="003802A0" w:rsidRDefault="00F83E03">
      <w:pPr>
        <w:pStyle w:val="Heading3"/>
        <w:spacing w:before="0" w:after="120"/>
        <w:ind w:firstLine="426"/>
        <w:rPr>
          <w:rFonts w:ascii="SkolaSans" w:hAnsi="SkolaSans"/>
        </w:rPr>
      </w:pPr>
      <w:bookmarkStart w:id="21" w:name="_Toc292717610"/>
      <w:r w:rsidRPr="00F31BAF">
        <w:rPr>
          <w:rFonts w:ascii="SkolaSans" w:hAnsi="SkolaSans"/>
          <w:color w:val="auto"/>
        </w:rPr>
        <w:t>2.1 Докази за дефинирање на пазарите – релевантен пазар на стоки</w:t>
      </w:r>
      <w:bookmarkEnd w:id="21"/>
    </w:p>
    <w:p w:rsidR="00F83E03" w:rsidRPr="00F31BAF" w:rsidRDefault="00F83E03" w:rsidP="00E03F7F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Анализ</w:t>
      </w:r>
      <w:r w:rsidR="00A33A75" w:rsidRPr="00F31BAF">
        <w:rPr>
          <w:rFonts w:ascii="SkolaSans" w:hAnsi="SkolaSans" w:cs="TimesNewRomanPSMT"/>
        </w:rPr>
        <w:t>ата</w:t>
      </w:r>
      <w:r w:rsidRPr="00F31BAF">
        <w:rPr>
          <w:rFonts w:ascii="SkolaSans" w:hAnsi="SkolaSans" w:cs="TimesNewRomanPSMT"/>
        </w:rPr>
        <w:t xml:space="preserve"> на карактеристиките на стоките и нивната наменска употреба и</w:t>
      </w:r>
      <w:r w:rsidR="00244786" w:rsidRPr="00F31BAF">
        <w:rPr>
          <w:rFonts w:ascii="SkolaSans" w:hAnsi="SkolaSans" w:cs="TimesNewRomanPSMT"/>
        </w:rPr>
        <w:t xml:space="preserve"> </w:t>
      </w:r>
      <w:r w:rsidR="00A33A75" w:rsidRPr="00F31BAF">
        <w:rPr>
          <w:rFonts w:ascii="SkolaSans" w:hAnsi="SkolaSans" w:cs="TimesNewRomanPSMT"/>
        </w:rPr>
        <w:t xml:space="preserve">овозможуваат </w:t>
      </w:r>
      <w:r w:rsidRPr="00F31BAF">
        <w:rPr>
          <w:rFonts w:ascii="SkolaSans" w:hAnsi="SkolaSans" w:cs="TimesNewRomanPSMT"/>
        </w:rPr>
        <w:t xml:space="preserve">на Комисијата, </w:t>
      </w:r>
      <w:r w:rsidR="00A33A75" w:rsidRPr="00F31BAF">
        <w:rPr>
          <w:rFonts w:ascii="SkolaSans" w:hAnsi="SkolaSans" w:cs="TimesNewRomanPSMT"/>
        </w:rPr>
        <w:t xml:space="preserve">како </w:t>
      </w:r>
      <w:r w:rsidRPr="00F31BAF">
        <w:rPr>
          <w:rFonts w:ascii="SkolaSans" w:hAnsi="SkolaSans" w:cs="TimesNewRomanPSMT"/>
        </w:rPr>
        <w:t>прв чекор, да го ограничи полето на истражување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можни супститути. Сепак, карактеристиките на стоките и нивната наменска употреба не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се доволни да прикажат дали два про</w:t>
      </w:r>
      <w:r w:rsidR="00CF665A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>звод</w:t>
      </w:r>
      <w:r w:rsidR="00CF665A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се супститути од аспект на побарувачката.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Функционалната меѓу</w:t>
      </w:r>
      <w:r w:rsidR="00CF665A" w:rsidRPr="00F31BAF">
        <w:rPr>
          <w:rFonts w:ascii="SkolaSans" w:hAnsi="SkolaSans" w:cs="TimesNewRomanPSMT"/>
        </w:rPr>
        <w:t>-</w:t>
      </w:r>
      <w:r w:rsidRPr="00F31BAF">
        <w:rPr>
          <w:rFonts w:ascii="SkolaSans" w:hAnsi="SkolaSans" w:cs="TimesNewRomanPSMT"/>
        </w:rPr>
        <w:t>заменливост или сличност во карактеристиките, сами по себе не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можат да бидат доволен критериум, бидејќи чувствителноста на купувачите на промените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во цените може исто така да биде </w:t>
      </w:r>
      <w:r w:rsidR="00A33A75" w:rsidRPr="00F31BAF">
        <w:rPr>
          <w:rFonts w:ascii="SkolaSans" w:hAnsi="SkolaSans" w:cs="TimesNewRomanPSMT"/>
        </w:rPr>
        <w:t xml:space="preserve">определена </w:t>
      </w:r>
      <w:r w:rsidRPr="00F31BAF">
        <w:rPr>
          <w:rFonts w:ascii="SkolaSans" w:hAnsi="SkolaSans" w:cs="TimesNewRomanPSMT"/>
        </w:rPr>
        <w:t>и од други фактори. На пример, може да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постојат различни</w:t>
      </w:r>
      <w:r w:rsidR="00A33A7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фактори кои влијаат на однесувањето на претпријатијата на пазарот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оригинална опрема за автомобилски </w:t>
      </w:r>
      <w:r w:rsidR="00A33A75" w:rsidRPr="00F31BAF">
        <w:rPr>
          <w:rFonts w:ascii="SkolaSans" w:hAnsi="SkolaSans" w:cs="TimesNewRomanPSMT"/>
        </w:rPr>
        <w:t xml:space="preserve">делови </w:t>
      </w:r>
      <w:r w:rsidRPr="00F31BAF">
        <w:rPr>
          <w:rFonts w:ascii="SkolaSans" w:hAnsi="SkolaSans" w:cs="TimesNewRomanPSMT"/>
        </w:rPr>
        <w:t>од оние кои влијаат на однесувањето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претпријатијата на пазарот за резервни делови</w:t>
      </w:r>
      <w:r w:rsidR="00A33A75" w:rsidRPr="00F31BAF">
        <w:rPr>
          <w:rFonts w:ascii="SkolaSans" w:hAnsi="SkolaSans" w:cs="TimesNewRomanPSMT"/>
        </w:rPr>
        <w:t xml:space="preserve"> за автомобили</w:t>
      </w:r>
      <w:r w:rsidRPr="00F31BAF">
        <w:rPr>
          <w:rFonts w:ascii="SkolaSans" w:hAnsi="SkolaSans" w:cs="TimesNewRomanPSMT"/>
        </w:rPr>
        <w:t xml:space="preserve"> и на тој начин водат кон утврдување на два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релев</w:t>
      </w:r>
      <w:r w:rsidR="00CF665A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>нтни пазари. Наспроти тоа, разликите во карактеристиките на стоките сами по себе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не се доволни да ја исклучат заменливоста на страната на побарувачката, бидејќи тоа во голема мера </w:t>
      </w:r>
      <w:r w:rsidR="00A33A75" w:rsidRPr="00F31BAF">
        <w:rPr>
          <w:rFonts w:ascii="SkolaSans" w:hAnsi="SkolaSans" w:cs="TimesNewRomanPSMT"/>
        </w:rPr>
        <w:t xml:space="preserve">ќе зависи </w:t>
      </w:r>
      <w:r w:rsidRPr="00F31BAF">
        <w:rPr>
          <w:rFonts w:ascii="SkolaSans" w:hAnsi="SkolaSans" w:cs="TimesNewRomanPSMT"/>
        </w:rPr>
        <w:t>од начинот на кој клиентите ги вреднуваат различните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карактеристики.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Видот на доказите кои Комисијата ги смета за релевантни </w:t>
      </w:r>
      <w:r w:rsidR="00A33A75" w:rsidRPr="00F31BAF">
        <w:rPr>
          <w:rFonts w:ascii="SkolaSans" w:hAnsi="SkolaSans" w:cs="TimesNewRomanPSMT"/>
        </w:rPr>
        <w:t xml:space="preserve">при оценувањето </w:t>
      </w:r>
      <w:r w:rsidRPr="00F31BAF">
        <w:rPr>
          <w:rFonts w:ascii="SkolaSans" w:hAnsi="SkolaSans" w:cs="TimesNewRomanPSMT"/>
        </w:rPr>
        <w:t>дали два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производи се заменливи на страната на побарувачката може да се категоризираат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следниов начин:</w:t>
      </w:r>
      <w:r w:rsidR="00244786" w:rsidRPr="00F31BAF">
        <w:rPr>
          <w:rFonts w:ascii="SkolaSans" w:hAnsi="SkolaSans" w:cs="TimesNewRomanPSMT"/>
        </w:rPr>
        <w:t xml:space="preserve"> </w:t>
      </w:r>
    </w:p>
    <w:p w:rsidR="00F83E03" w:rsidRPr="00F31BAF" w:rsidRDefault="00F83E03" w:rsidP="002765C9">
      <w:pPr>
        <w:autoSpaceDE w:val="0"/>
        <w:autoSpaceDN w:val="0"/>
        <w:adjustRightInd w:val="0"/>
        <w:spacing w:before="240" w:after="240" w:line="240" w:lineRule="auto"/>
        <w:ind w:firstLine="425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lastRenderedPageBreak/>
        <w:t>Докази за заменливост во блиско минато.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5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Во одредени случаи, можно е да се анализираат доказите поврзани со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неодамнешни настани или потреси на пазарот кои нудат вистински примери на</w:t>
      </w:r>
      <w:r w:rsidR="00244786" w:rsidRPr="00F31BAF">
        <w:rPr>
          <w:rFonts w:ascii="SkolaSans" w:hAnsi="SkolaSans" w:cs="TimesNewRomanPSMT"/>
        </w:rPr>
        <w:t xml:space="preserve"> </w:t>
      </w:r>
      <w:r w:rsidR="001C06C0" w:rsidRPr="00F31BAF">
        <w:rPr>
          <w:rFonts w:ascii="SkolaSans" w:hAnsi="SkolaSans" w:cs="TimesNewRomanPSMT"/>
        </w:rPr>
        <w:t>заменливост (</w:t>
      </w:r>
      <w:r w:rsidRPr="00F31BAF">
        <w:rPr>
          <w:rFonts w:ascii="SkolaSans" w:hAnsi="SkolaSans" w:cs="TimesNewRomanPSMT"/>
        </w:rPr>
        <w:t>супституција</w:t>
      </w:r>
      <w:r w:rsidR="001C06C0" w:rsidRPr="00F31BAF">
        <w:rPr>
          <w:rFonts w:ascii="SkolaSans" w:hAnsi="SkolaSans" w:cs="TimesNewRomanPSMT"/>
        </w:rPr>
        <w:t>)</w:t>
      </w:r>
      <w:r w:rsidRPr="00F31BAF">
        <w:rPr>
          <w:rFonts w:ascii="SkolaSans" w:hAnsi="SkolaSans" w:cs="TimesNewRomanPSMT"/>
        </w:rPr>
        <w:t xml:space="preserve"> помеѓу два производ</w:t>
      </w:r>
      <w:r w:rsidR="00CF665A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>. Кога е тоа можно, овој вид на информации нормално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ќе бид</w:t>
      </w:r>
      <w:r w:rsidR="001C06C0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 од фундаментално значење за дефинирање на пазарот. Доколку постоеле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промени во цените во минатото (притоа сите други услови останале исти), реакциите во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смисла на количините кои се побарувале ќе бидат од пресудно значење во одредување на</w:t>
      </w:r>
      <w:r w:rsidR="00F764E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заменливоста. Пласирањето на нови стоки во минатото може исто така да понуди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корисни информации, кога е можно прецизно да се анализира кои стоки ја изгубиле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продажбата за сметка на новите стоки.</w:t>
      </w:r>
    </w:p>
    <w:p w:rsidR="00F83E03" w:rsidRPr="00F31BAF" w:rsidRDefault="00AF1CC5" w:rsidP="002765C9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 xml:space="preserve">Ставови </w:t>
      </w:r>
      <w:r w:rsidR="00F83E03" w:rsidRPr="00F31BAF">
        <w:rPr>
          <w:rFonts w:ascii="SkolaSans" w:hAnsi="SkolaSans" w:cs="TimesNewRomanPS-ItalicMT"/>
          <w:i/>
          <w:iCs/>
        </w:rPr>
        <w:t>на купувачите и конкурентите.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Комисијата често ќе ги контактира главните купувачи и конкуренти на засегнатите</w:t>
      </w:r>
      <w:r w:rsidR="00F764E0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претпријатија, со цел да ги добие нивните </w:t>
      </w:r>
      <w:r w:rsidR="00AF1CC5" w:rsidRPr="00F31BAF">
        <w:rPr>
          <w:rFonts w:ascii="SkolaSans" w:hAnsi="SkolaSans" w:cs="TimesNewRomanPSMT"/>
        </w:rPr>
        <w:t xml:space="preserve">ставови </w:t>
      </w:r>
      <w:r w:rsidRPr="00F31BAF">
        <w:rPr>
          <w:rFonts w:ascii="SkolaSans" w:hAnsi="SkolaSans" w:cs="TimesNewRomanPSMT"/>
        </w:rPr>
        <w:t>за границите на пазарот на стоки, како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и за да го добие најголемиот дел од фактичките информации кои се потребни за да </w:t>
      </w:r>
      <w:r w:rsidR="00E41DB1" w:rsidRPr="00F31BAF">
        <w:rPr>
          <w:rFonts w:ascii="SkolaSans" w:hAnsi="SkolaSans" w:cs="TimesNewRomanPSMT"/>
        </w:rPr>
        <w:t xml:space="preserve">го </w:t>
      </w:r>
      <w:r w:rsidRPr="00F31BAF">
        <w:rPr>
          <w:rFonts w:ascii="SkolaSans" w:hAnsi="SkolaSans" w:cs="TimesNewRomanPSMT"/>
        </w:rPr>
        <w:t>утврди обемот на пазарот. Образложени одговори на купувачите и конкурентите за тоа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што би се случило доколку </w:t>
      </w:r>
      <w:r w:rsidR="00AF1CC5" w:rsidRPr="00F31BAF">
        <w:rPr>
          <w:rFonts w:ascii="SkolaSans" w:hAnsi="SkolaSans" w:cs="TimesNewRomanPSMT"/>
        </w:rPr>
        <w:t>цените на</w:t>
      </w:r>
      <w:r w:rsidRPr="00F31BAF">
        <w:rPr>
          <w:rFonts w:ascii="SkolaSans" w:hAnsi="SkolaSans" w:cs="TimesNewRomanPSMT"/>
        </w:rPr>
        <w:t xml:space="preserve"> предметните стоки во географската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средина на засегнатите претпријатија </w:t>
      </w:r>
      <w:r w:rsidR="00AF1CC5" w:rsidRPr="00F31BAF">
        <w:rPr>
          <w:rFonts w:ascii="SkolaSans" w:hAnsi="SkolaSans" w:cs="TimesNewRomanPSMT"/>
        </w:rPr>
        <w:t xml:space="preserve">би се зголемиле </w:t>
      </w:r>
      <w:r w:rsidRPr="00F31BAF">
        <w:rPr>
          <w:rFonts w:ascii="SkolaSans" w:hAnsi="SkolaSans" w:cs="TimesNewRomanPSMT"/>
        </w:rPr>
        <w:t>во мал износ (на пример од 5% до 10%) се земаат во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предвид кога истите во доволн</w:t>
      </w:r>
      <w:r w:rsidR="00AF1CC5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</w:t>
      </w:r>
      <w:r w:rsidR="00AF1CC5" w:rsidRPr="00F31BAF">
        <w:rPr>
          <w:rFonts w:ascii="SkolaSans" w:hAnsi="SkolaSans" w:cs="TimesNewRomanPSMT"/>
        </w:rPr>
        <w:t xml:space="preserve">мера </w:t>
      </w:r>
      <w:r w:rsidRPr="00F31BAF">
        <w:rPr>
          <w:rFonts w:ascii="SkolaSans" w:hAnsi="SkolaSans" w:cs="TimesNewRomanPSMT"/>
        </w:rPr>
        <w:t>се поткрепени со фактички докази.</w:t>
      </w:r>
      <w:r w:rsidR="00244786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Преференции на потрошувачите.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Во случај на стоки за широка потрошувачка, </w:t>
      </w:r>
      <w:r w:rsidR="00F764E0" w:rsidRPr="00F31BAF">
        <w:rPr>
          <w:rFonts w:ascii="SkolaSans" w:hAnsi="SkolaSans" w:cs="TimesNewRomanPSMT"/>
        </w:rPr>
        <w:t xml:space="preserve">за Комисијата </w:t>
      </w:r>
      <w:r w:rsidRPr="00F31BAF">
        <w:rPr>
          <w:rFonts w:ascii="SkolaSans" w:hAnsi="SkolaSans" w:cs="TimesNewRomanPSMT"/>
        </w:rPr>
        <w:t>може да претставува потешкотија да ги прибави директните мислења на крајните потрошувачи за заменливите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стоки. Маркетинг студии кои претпријатијата ги спровеле во минатото и кои се користат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од претпријатијата </w:t>
      </w:r>
      <w:r w:rsidR="00267CD0" w:rsidRPr="00F31BAF">
        <w:rPr>
          <w:rFonts w:ascii="SkolaSans" w:hAnsi="SkolaSans" w:cs="TimesNewRomanPSMT"/>
        </w:rPr>
        <w:t xml:space="preserve">при </w:t>
      </w:r>
      <w:r w:rsidRPr="00F31BAF">
        <w:rPr>
          <w:rFonts w:ascii="SkolaSans" w:hAnsi="SkolaSans" w:cs="TimesNewRomanPSMT"/>
        </w:rPr>
        <w:t xml:space="preserve">донесување на </w:t>
      </w:r>
      <w:r w:rsidR="00267CD0" w:rsidRPr="00F31BAF">
        <w:rPr>
          <w:rFonts w:ascii="SkolaSans" w:hAnsi="SkolaSans" w:cs="TimesNewRomanPSMT"/>
        </w:rPr>
        <w:t xml:space="preserve">нивните </w:t>
      </w:r>
      <w:r w:rsidRPr="00F31BAF">
        <w:rPr>
          <w:rFonts w:ascii="SkolaSans" w:hAnsi="SkolaSans" w:cs="TimesNewRomanPSMT"/>
        </w:rPr>
        <w:t>одлуки за у</w:t>
      </w:r>
      <w:r w:rsidR="00F764E0" w:rsidRPr="00F31BAF">
        <w:rPr>
          <w:rFonts w:ascii="SkolaSans" w:hAnsi="SkolaSans" w:cs="TimesNewRomanPSMT"/>
        </w:rPr>
        <w:t>т</w:t>
      </w:r>
      <w:r w:rsidRPr="00F31BAF">
        <w:rPr>
          <w:rFonts w:ascii="SkolaSans" w:hAnsi="SkolaSans" w:cs="TimesNewRomanPSMT"/>
        </w:rPr>
        <w:t>врдување на цените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нивните стоки и/или маркетинг дејствија може да обезбедат корисни информации за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утврдување на релевантниот пазар од страна на Комисијата. Истражувањата за шаблони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употреба и однесување на потрошувачите, податоци</w:t>
      </w:r>
      <w:r w:rsidR="003B037A" w:rsidRPr="00F31BAF">
        <w:rPr>
          <w:rFonts w:ascii="SkolaSans" w:hAnsi="SkolaSans" w:cs="TimesNewRomanPSMT"/>
        </w:rPr>
        <w:t>те</w:t>
      </w:r>
      <w:r w:rsidRPr="00F31BAF">
        <w:rPr>
          <w:rFonts w:ascii="SkolaSans" w:hAnsi="SkolaSans" w:cs="TimesNewRomanPSMT"/>
        </w:rPr>
        <w:t xml:space="preserve"> </w:t>
      </w:r>
      <w:r w:rsidR="00267CD0" w:rsidRPr="00F31BAF">
        <w:rPr>
          <w:rFonts w:ascii="SkolaSans" w:hAnsi="SkolaSans" w:cs="TimesNewRomanPSMT"/>
        </w:rPr>
        <w:t xml:space="preserve">од </w:t>
      </w:r>
      <w:r w:rsidRPr="00F31BAF">
        <w:rPr>
          <w:rFonts w:ascii="SkolaSans" w:hAnsi="SkolaSans" w:cs="TimesNewRomanPSMT"/>
        </w:rPr>
        <w:t>шаблони</w:t>
      </w:r>
      <w:r w:rsidR="00267CD0" w:rsidRPr="00F31BAF">
        <w:rPr>
          <w:rFonts w:ascii="SkolaSans" w:hAnsi="SkolaSans" w:cs="TimesNewRomanPSMT"/>
        </w:rPr>
        <w:t>те</w:t>
      </w:r>
      <w:r w:rsidRPr="00F31BAF">
        <w:rPr>
          <w:rFonts w:ascii="SkolaSans" w:hAnsi="SkolaSans" w:cs="TimesNewRomanPSMT"/>
        </w:rPr>
        <w:t xml:space="preserve"> на купување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потрошувачите, </w:t>
      </w:r>
      <w:r w:rsidR="00267CD0" w:rsidRPr="00F31BAF">
        <w:rPr>
          <w:rFonts w:ascii="SkolaSans" w:hAnsi="SkolaSans" w:cs="TimesNewRomanPSMT"/>
        </w:rPr>
        <w:t xml:space="preserve">ставовите </w:t>
      </w:r>
      <w:r w:rsidRPr="00F31BAF">
        <w:rPr>
          <w:rFonts w:ascii="SkolaSans" w:hAnsi="SkolaSans" w:cs="TimesNewRomanPSMT"/>
        </w:rPr>
        <w:t>на трговците на мало и поопшто, студии</w:t>
      </w:r>
      <w:r w:rsidR="003B037A" w:rsidRPr="00F31BAF">
        <w:rPr>
          <w:rFonts w:ascii="SkolaSans" w:hAnsi="SkolaSans" w:cs="TimesNewRomanPSMT"/>
        </w:rPr>
        <w:t>те</w:t>
      </w:r>
      <w:r w:rsidRPr="00F31BAF">
        <w:rPr>
          <w:rFonts w:ascii="SkolaSans" w:hAnsi="SkolaSans" w:cs="TimesNewRomanPSMT"/>
        </w:rPr>
        <w:t xml:space="preserve"> за истражувања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пазарот поднесени од засегнатите претпријатија и нивните конкуренти се земаат во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предвид со цел да се утврд</w:t>
      </w:r>
      <w:r w:rsidR="003B037A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дали економски знача</w:t>
      </w:r>
      <w:r w:rsidR="003B037A" w:rsidRPr="00F31BAF">
        <w:rPr>
          <w:rFonts w:ascii="SkolaSans" w:hAnsi="SkolaSans" w:cs="TimesNewRomanPSMT"/>
        </w:rPr>
        <w:t>ен дел од</w:t>
      </w:r>
      <w:r w:rsidRPr="00F31BAF">
        <w:rPr>
          <w:rFonts w:ascii="SkolaSans" w:hAnsi="SkolaSans" w:cs="TimesNewRomanPSMT"/>
        </w:rPr>
        <w:t xml:space="preserve"> потрошувачи</w:t>
      </w:r>
      <w:r w:rsidR="003B037A" w:rsidRPr="00F31BAF">
        <w:rPr>
          <w:rFonts w:ascii="SkolaSans" w:hAnsi="SkolaSans" w:cs="TimesNewRomanPSMT"/>
        </w:rPr>
        <w:t>те</w:t>
      </w:r>
      <w:r w:rsidRPr="00F31BAF">
        <w:rPr>
          <w:rFonts w:ascii="SkolaSans" w:hAnsi="SkolaSans" w:cs="TimesNewRomanPSMT"/>
        </w:rPr>
        <w:t xml:space="preserve"> смета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дека два производа се меѓусебно заменливи, при што исто така се зема во предвид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значајноста на трговските марки на засегнатите стоки. Методологијата применета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во истражувањата за однесувањето и мислењ</w:t>
      </w:r>
      <w:r w:rsidR="00113BAF" w:rsidRPr="00F31BAF">
        <w:rPr>
          <w:rFonts w:ascii="SkolaSans" w:hAnsi="SkolaSans" w:cs="TimesNewRomanPSMT"/>
        </w:rPr>
        <w:t xml:space="preserve">ето </w:t>
      </w:r>
      <w:r w:rsidRPr="00F31BAF">
        <w:rPr>
          <w:rFonts w:ascii="SkolaSans" w:hAnsi="SkolaSans" w:cs="TimesNewRomanPSMT"/>
        </w:rPr>
        <w:t>на потрошувачите од страна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засегнатите претпријатија или нивните конкуренти за целите на постапката</w:t>
      </w:r>
      <w:r w:rsidR="00113BAF" w:rsidRPr="00F31BAF">
        <w:rPr>
          <w:rFonts w:ascii="SkolaSans" w:hAnsi="SkolaSans" w:cs="TimesNewRomanPSMT"/>
        </w:rPr>
        <w:t xml:space="preserve"> за концентрации или</w:t>
      </w:r>
      <w:r w:rsidRPr="00F31BAF">
        <w:rPr>
          <w:rFonts w:ascii="SkolaSans" w:hAnsi="SkolaSans" w:cs="TimesNewRomanPSMT"/>
        </w:rPr>
        <w:t xml:space="preserve"> </w:t>
      </w:r>
      <w:r w:rsidR="00113BAF" w:rsidRPr="00F31BAF">
        <w:rPr>
          <w:rFonts w:ascii="SkolaSans" w:hAnsi="SkolaSans" w:cs="TimesNewRomanPSMT"/>
        </w:rPr>
        <w:t xml:space="preserve">постапката </w:t>
      </w:r>
      <w:r w:rsidRPr="00F31BAF">
        <w:rPr>
          <w:rFonts w:ascii="SkolaSans" w:hAnsi="SkolaSans" w:cs="TimesNewRomanPSMT"/>
        </w:rPr>
        <w:t>поведена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согласно ЗЗК, вообичаено ќе бид</w:t>
      </w:r>
      <w:r w:rsidR="00113BAF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 грижливо испитан</w:t>
      </w:r>
      <w:r w:rsidR="00113BAF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 со големо внимание. За разлика од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претходно постоечки студии, овие истражувања не се подготвени </w:t>
      </w:r>
      <w:r w:rsidR="00A12919" w:rsidRPr="00F31BAF">
        <w:rPr>
          <w:rFonts w:ascii="SkolaSans" w:hAnsi="SkolaSans" w:cs="TimesNewRomanPSMT"/>
        </w:rPr>
        <w:t xml:space="preserve">при </w:t>
      </w:r>
      <w:r w:rsidRPr="00F31BAF">
        <w:rPr>
          <w:rFonts w:ascii="SkolaSans" w:hAnsi="SkolaSans" w:cs="TimesNewRomanPSMT"/>
        </w:rPr>
        <w:t>нормално деловно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работење за донесување на деловни одлуки.</w:t>
      </w:r>
    </w:p>
    <w:p w:rsidR="00F83E03" w:rsidRPr="00F31BAF" w:rsidRDefault="00F83E03" w:rsidP="002765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Пречки и трошоци поврзани со замена на побарувачката кон потенцијални</w:t>
      </w:r>
    </w:p>
    <w:p w:rsidR="00F83E03" w:rsidRPr="00F31BAF" w:rsidRDefault="00CE0B41" w:rsidP="002765C9">
      <w:pPr>
        <w:autoSpaceDE w:val="0"/>
        <w:autoSpaceDN w:val="0"/>
        <w:adjustRightInd w:val="0"/>
        <w:spacing w:after="0" w:line="240" w:lineRule="auto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замени</w:t>
      </w:r>
      <w:r w:rsidR="00F83E03" w:rsidRPr="00F31BAF">
        <w:rPr>
          <w:rFonts w:ascii="SkolaSans" w:hAnsi="SkolaSans" w:cs="TimesNewRomanPS-ItalicMT"/>
          <w:i/>
          <w:iCs/>
        </w:rPr>
        <w:t>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Постојат бројни пречки и трошоци врз основа на кои Комисијата може да утврди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дека двата најзначајни супститути од аспект на побарувачката не припаѓаат на еден ист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 на стоки. Не е возможно да се утврди исцрпна </w:t>
      </w:r>
      <w:r w:rsidRPr="00F31BAF">
        <w:rPr>
          <w:rFonts w:ascii="SkolaSans" w:hAnsi="SkolaSans" w:cs="TimesNewRomanPSMT"/>
        </w:rPr>
        <w:lastRenderedPageBreak/>
        <w:t>листа на сите можни пречки за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заменливост и на трошоците за префрлување. Овие пречки може да имаат широк </w:t>
      </w:r>
      <w:r w:rsidR="0067079A" w:rsidRPr="00F31BAF">
        <w:rPr>
          <w:rFonts w:ascii="SkolaSans" w:hAnsi="SkolaSans" w:cs="TimesNewRomanPSMT"/>
        </w:rPr>
        <w:t xml:space="preserve">дијапазон </w:t>
      </w:r>
      <w:r w:rsidRPr="00F31BAF">
        <w:rPr>
          <w:rFonts w:ascii="SkolaSans" w:hAnsi="SkolaSans" w:cs="TimesNewRomanPSMT"/>
        </w:rPr>
        <w:t>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потекло. Комисијата </w:t>
      </w:r>
      <w:r w:rsidR="00853862" w:rsidRPr="00F31BAF">
        <w:rPr>
          <w:rFonts w:ascii="SkolaSans" w:hAnsi="SkolaSans" w:cs="TimesNewRomanPSMT"/>
        </w:rPr>
        <w:t xml:space="preserve">при донесувањето на нејзините </w:t>
      </w:r>
      <w:r w:rsidRPr="00F31BAF">
        <w:rPr>
          <w:rFonts w:ascii="SkolaSans" w:hAnsi="SkolaSans" w:cs="TimesNewRomanPSMT"/>
        </w:rPr>
        <w:t xml:space="preserve">одлуки е </w:t>
      </w:r>
      <w:r w:rsidR="00853862" w:rsidRPr="00F31BAF">
        <w:rPr>
          <w:rFonts w:ascii="SkolaSans" w:hAnsi="SkolaSans" w:cs="TimesNewRomanPSMT"/>
        </w:rPr>
        <w:t xml:space="preserve">соочена </w:t>
      </w:r>
      <w:r w:rsidRPr="00F31BAF">
        <w:rPr>
          <w:rFonts w:ascii="SkolaSans" w:hAnsi="SkolaSans" w:cs="TimesNewRomanPSMT"/>
        </w:rPr>
        <w:t xml:space="preserve">со регулаторни пречки или други форми на државна интервенција, ограничувања кои произлегуваат во </w:t>
      </w:r>
      <w:r w:rsidR="00985304" w:rsidRPr="00F31BAF">
        <w:rPr>
          <w:rFonts w:ascii="SkolaSans" w:hAnsi="SkolaSans" w:cs="TimesNewRomanPSMT"/>
        </w:rPr>
        <w:t>надолните пазари</w:t>
      </w:r>
      <w:r w:rsidRPr="00F31BAF">
        <w:rPr>
          <w:rFonts w:ascii="SkolaSans" w:hAnsi="SkolaSans" w:cs="TimesNewRomanPSMT"/>
        </w:rPr>
        <w:t>,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потреба </w:t>
      </w:r>
      <w:r w:rsidR="00BE5F69" w:rsidRPr="00F31BAF">
        <w:rPr>
          <w:rFonts w:ascii="SkolaSans" w:hAnsi="SkolaSans" w:cs="TimesNewRomanPSMT"/>
        </w:rPr>
        <w:t>од</w:t>
      </w:r>
      <w:r w:rsidRPr="00F31BAF">
        <w:rPr>
          <w:rFonts w:ascii="SkolaSans" w:hAnsi="SkolaSans" w:cs="TimesNewRomanPSMT"/>
        </w:rPr>
        <w:t xml:space="preserve"> специфични капитални инвестиции или загуби во посто</w:t>
      </w:r>
      <w:r w:rsidR="00853862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>н</w:t>
      </w:r>
      <w:r w:rsidR="00853862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производ (аутпут) со цел префрла</w:t>
      </w:r>
      <w:r w:rsidR="00853862" w:rsidRPr="00F31BAF">
        <w:rPr>
          <w:rFonts w:ascii="SkolaSans" w:hAnsi="SkolaSans" w:cs="TimesNewRomanPSMT"/>
        </w:rPr>
        <w:t xml:space="preserve">ње </w:t>
      </w:r>
      <w:r w:rsidRPr="00F31BAF">
        <w:rPr>
          <w:rFonts w:ascii="SkolaSans" w:hAnsi="SkolaSans" w:cs="TimesNewRomanPSMT"/>
        </w:rPr>
        <w:t>на алтернативни инпути, локација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купувачите, специфични инвестиции во производниот процес, капитални инвестиции во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едукација и човечки ресурси, трошоци за промена на опремата или други инвестиции,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несигурност за квалитетот и репутацијата на непознатите понудувачи и други.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Различни категории на купувачи и ценовна дискриминација.</w:t>
      </w:r>
    </w:p>
    <w:p w:rsidR="00244786" w:rsidRPr="00F31BAF" w:rsidRDefault="00F83E03" w:rsidP="002765C9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Опсегот на пазарот на стоки може да се стесни во присуство на посебни групи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купувачи. Посебна група на купувачи за релевант</w:t>
      </w:r>
      <w:r w:rsidR="00F764E0" w:rsidRPr="00F31BAF">
        <w:rPr>
          <w:rFonts w:ascii="SkolaSans" w:hAnsi="SkolaSans" w:cs="TimesNewRomanPSMT"/>
        </w:rPr>
        <w:t>н</w:t>
      </w:r>
      <w:r w:rsidRPr="00F31BAF">
        <w:rPr>
          <w:rFonts w:ascii="SkolaSans" w:hAnsi="SkolaSans" w:cs="TimesNewRomanPSMT"/>
        </w:rPr>
        <w:t xml:space="preserve">ата стока може да составува потесен, </w:t>
      </w:r>
      <w:r w:rsidR="00244786" w:rsidRPr="00F31BAF">
        <w:rPr>
          <w:rFonts w:ascii="SkolaSans" w:hAnsi="SkolaSans" w:cs="TimesNewRomanPSMT"/>
        </w:rPr>
        <w:t xml:space="preserve"> п</w:t>
      </w:r>
      <w:r w:rsidRPr="00F31BAF">
        <w:rPr>
          <w:rFonts w:ascii="SkolaSans" w:hAnsi="SkolaSans" w:cs="TimesNewRomanPSMT"/>
        </w:rPr>
        <w:t>осебен пазар кога таквата група може да биде предмет на ценовна дискриминација. Ова нај</w:t>
      </w:r>
      <w:r w:rsidR="00244786" w:rsidRPr="00F31BAF">
        <w:rPr>
          <w:rFonts w:ascii="SkolaSans" w:hAnsi="SkolaSans" w:cs="TimesNewRomanPSMT"/>
        </w:rPr>
        <w:t>ч</w:t>
      </w:r>
      <w:r w:rsidRPr="00F31BAF">
        <w:rPr>
          <w:rFonts w:ascii="SkolaSans" w:hAnsi="SkolaSans" w:cs="TimesNewRomanPSMT"/>
        </w:rPr>
        <w:t xml:space="preserve">есто е случај кога се исполнети два услова: (а) можно </w:t>
      </w:r>
      <w:r w:rsidR="00F764E0" w:rsidRPr="00F31BAF">
        <w:rPr>
          <w:rFonts w:ascii="SkolaSans" w:hAnsi="SkolaSans" w:cs="TimesNewRomanPSMT"/>
        </w:rPr>
        <w:t xml:space="preserve">е </w:t>
      </w:r>
      <w:r w:rsidRPr="00F31BAF">
        <w:rPr>
          <w:rFonts w:ascii="SkolaSans" w:hAnsi="SkolaSans" w:cs="TimesNewRomanPSMT"/>
        </w:rPr>
        <w:t>јасно да се идентификува во која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група припаѓа индивидуалниот купувач во моментот кога му се продава релевантната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сток</w:t>
      </w:r>
      <w:r w:rsidR="004252A0" w:rsidRPr="00F31BAF">
        <w:rPr>
          <w:rFonts w:ascii="SkolaSans" w:hAnsi="SkolaSans" w:cs="TimesNewRomanPSMT"/>
        </w:rPr>
        <w:t>а</w:t>
      </w:r>
      <w:r w:rsidRPr="00F31BAF">
        <w:rPr>
          <w:rFonts w:ascii="SkolaSans" w:hAnsi="SkolaSans" w:cs="TimesNewRomanPSMT"/>
        </w:rPr>
        <w:t xml:space="preserve">, и (б) </w:t>
      </w:r>
      <w:r w:rsidR="00A4192A" w:rsidRPr="00F31BAF">
        <w:rPr>
          <w:rFonts w:ascii="SkolaSans" w:hAnsi="SkolaSans" w:cs="TimesNewRomanPSMT"/>
        </w:rPr>
        <w:t xml:space="preserve">не би била можна </w:t>
      </w:r>
      <w:r w:rsidRPr="00F31BAF">
        <w:rPr>
          <w:rFonts w:ascii="SkolaSans" w:hAnsi="SkolaSans" w:cs="TimesNewRomanPSMT"/>
        </w:rPr>
        <w:t xml:space="preserve">трговија помеѓу купувачите или </w:t>
      </w:r>
      <w:r w:rsidR="00F764E0" w:rsidRPr="00F31BAF">
        <w:rPr>
          <w:rFonts w:ascii="SkolaSans" w:hAnsi="SkolaSans" w:cs="TimesNewRomanPSMT"/>
        </w:rPr>
        <w:t xml:space="preserve">посредување </w:t>
      </w:r>
      <w:r w:rsidRPr="00F31BAF">
        <w:rPr>
          <w:rFonts w:ascii="SkolaSans" w:hAnsi="SkolaSans" w:cs="TimesNewRomanPSMT"/>
        </w:rPr>
        <w:t>од трети лица.</w:t>
      </w:r>
      <w:r w:rsidR="00244786" w:rsidRPr="00F31BAF">
        <w:rPr>
          <w:rFonts w:ascii="SkolaSans" w:hAnsi="SkolaSans" w:cs="TimesNewRomanPSMT"/>
        </w:rPr>
        <w:t xml:space="preserve"> </w:t>
      </w:r>
    </w:p>
    <w:p w:rsidR="00E03F7F" w:rsidRDefault="00E03F7F" w:rsidP="00E03F7F">
      <w:pPr>
        <w:pStyle w:val="Heading3"/>
        <w:spacing w:before="0" w:after="120"/>
        <w:rPr>
          <w:rFonts w:ascii="SkolaSans" w:hAnsi="SkolaSans"/>
          <w:color w:val="auto"/>
        </w:rPr>
      </w:pPr>
    </w:p>
    <w:p w:rsidR="003802A0" w:rsidRDefault="00F83E03">
      <w:pPr>
        <w:pStyle w:val="Heading3"/>
        <w:spacing w:before="0" w:after="120"/>
        <w:ind w:firstLine="426"/>
        <w:rPr>
          <w:rFonts w:ascii="SkolaSans" w:hAnsi="SkolaSans"/>
        </w:rPr>
      </w:pPr>
      <w:bookmarkStart w:id="22" w:name="_Toc292717611"/>
      <w:r w:rsidRPr="00F31BAF">
        <w:rPr>
          <w:rFonts w:ascii="SkolaSans" w:hAnsi="SkolaSans"/>
          <w:color w:val="auto"/>
        </w:rPr>
        <w:t>2.2 Докази за дефинирање на географскиот пазар</w:t>
      </w:r>
      <w:bookmarkEnd w:id="22"/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Видот на докази кои Комисијата ги смета за релевантни за донесување на заклучок</w:t>
      </w:r>
      <w:r w:rsidR="00AF1CC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 географскиот пазар, може да се категоризира на следниов начин:</w:t>
      </w:r>
    </w:p>
    <w:p w:rsidR="003802A0" w:rsidRDefault="00415091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  <w:i/>
        </w:rPr>
      </w:pPr>
      <w:r w:rsidRPr="00415091">
        <w:rPr>
          <w:rFonts w:ascii="SkolaSans" w:hAnsi="SkolaSans" w:cs="TimesNewRomanPSMT"/>
          <w:i/>
        </w:rPr>
        <w:t>Докази за пренасочување на нарачките кон други средини во минатото.</w:t>
      </w:r>
    </w:p>
    <w:p w:rsidR="009E7FA5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Во одредени случаи, можно е да постојат докази за промени во цените на стоките</w:t>
      </w:r>
      <w:r w:rsidR="007D148D" w:rsidRPr="00F31BAF">
        <w:rPr>
          <w:rFonts w:ascii="SkolaSans" w:hAnsi="SkolaSans" w:cs="TimesNewRomanPSMT"/>
        </w:rPr>
        <w:t xml:space="preserve"> на</w:t>
      </w:r>
      <w:r w:rsidRPr="00F31BAF">
        <w:rPr>
          <w:rFonts w:ascii="SkolaSans" w:hAnsi="SkolaSans" w:cs="TimesNewRomanPSMT"/>
        </w:rPr>
        <w:t xml:space="preserve"> различни територии и последователните реакции на купувачите.</w:t>
      </w:r>
      <w:r w:rsidR="00147789" w:rsidRPr="00F31BAF">
        <w:rPr>
          <w:rFonts w:ascii="SkolaSans" w:hAnsi="SkolaSans" w:cs="TimesNewRomanPSMT"/>
        </w:rPr>
        <w:t xml:space="preserve"> </w:t>
      </w:r>
    </w:p>
    <w:p w:rsidR="009E7FA5" w:rsidRDefault="009E7FA5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Основни карактеристики на побарувачката.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  <w:lang w:val="en-US"/>
        </w:rPr>
      </w:pPr>
      <w:r w:rsidRPr="00F31BAF">
        <w:rPr>
          <w:rFonts w:ascii="SkolaSans" w:hAnsi="SkolaSans" w:cs="TimesNewRomanPSMT"/>
        </w:rPr>
        <w:t>Природата на побарувачката за релевантни стоки може сама по себе да го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определи обемот на географскиот пазар. Факторите</w:t>
      </w:r>
      <w:r w:rsidR="006C4FB7" w:rsidRPr="00F31BAF">
        <w:rPr>
          <w:rFonts w:ascii="SkolaSans" w:hAnsi="SkolaSans" w:cs="TimesNewRomanPSMT"/>
        </w:rPr>
        <w:t>,</w:t>
      </w:r>
      <w:r w:rsidRPr="00F31BAF">
        <w:rPr>
          <w:rFonts w:ascii="SkolaSans" w:hAnsi="SkolaSans" w:cs="TimesNewRomanPSMT"/>
        </w:rPr>
        <w:t xml:space="preserve"> како што се национални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преференции или преференции за национални трговски марки, јазик, култура и стил 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живеење, како и потребата за локално присуство имаат силен потенцијал да го ограничат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географскиот обем на конкуренцијата.</w:t>
      </w:r>
    </w:p>
    <w:p w:rsidR="003802A0" w:rsidRDefault="00AF1CC5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Ставови</w:t>
      </w:r>
      <w:r w:rsidR="00F83E03" w:rsidRPr="00F31BAF">
        <w:rPr>
          <w:rFonts w:ascii="SkolaSans" w:hAnsi="SkolaSans" w:cs="TimesNewRomanPS-ItalicMT"/>
          <w:i/>
          <w:iCs/>
        </w:rPr>
        <w:t xml:space="preserve"> на купувачите и конкурентите.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Онаму каде тоа е соодветно, Комисијата ќе ги контактира главните купувачи и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конкуренти на претпријатија</w:t>
      </w:r>
      <w:r w:rsidR="003B22AA" w:rsidRPr="00F31BAF">
        <w:rPr>
          <w:rFonts w:ascii="SkolaSans" w:hAnsi="SkolaSans" w:cs="TimesNewRomanPSMT"/>
        </w:rPr>
        <w:t>та кои се предмет на истрага</w:t>
      </w:r>
      <w:r w:rsidRPr="00F31BAF">
        <w:rPr>
          <w:rFonts w:ascii="SkolaSans" w:hAnsi="SkolaSans" w:cs="TimesNewRomanPSMT"/>
        </w:rPr>
        <w:t xml:space="preserve">, со цел да ги добие нивните </w:t>
      </w:r>
      <w:r w:rsidR="00AF1CC5" w:rsidRPr="00F31BAF">
        <w:rPr>
          <w:rFonts w:ascii="SkolaSans" w:hAnsi="SkolaSans" w:cs="TimesNewRomanPSMT"/>
        </w:rPr>
        <w:t>ставови</w:t>
      </w:r>
      <w:r w:rsidRPr="00F31BAF">
        <w:rPr>
          <w:rFonts w:ascii="SkolaSans" w:hAnsi="SkolaSans" w:cs="TimesNewRomanPSMT"/>
        </w:rPr>
        <w:t xml:space="preserve"> за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границите на географскиот пазар, како и најголемиот дел од информации</w:t>
      </w:r>
      <w:r w:rsidR="007179DD" w:rsidRPr="00F31BAF">
        <w:rPr>
          <w:rFonts w:ascii="SkolaSans" w:hAnsi="SkolaSans" w:cs="TimesNewRomanPSMT"/>
        </w:rPr>
        <w:t>те за фактите</w:t>
      </w:r>
      <w:r w:rsidR="004642FA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потребни за донес</w:t>
      </w:r>
      <w:r w:rsidR="004642FA" w:rsidRPr="00F31BAF">
        <w:rPr>
          <w:rFonts w:ascii="SkolaSans" w:hAnsi="SkolaSans" w:cs="TimesNewRomanPSMT"/>
        </w:rPr>
        <w:t>ување</w:t>
      </w:r>
      <w:r w:rsidRPr="00F31BAF">
        <w:rPr>
          <w:rFonts w:ascii="SkolaSans" w:hAnsi="SkolaSans" w:cs="TimesNewRomanPSMT"/>
        </w:rPr>
        <w:t xml:space="preserve"> заклучок за обемот на пазарот кога тие</w:t>
      </w:r>
      <w:r w:rsidR="00C409B0" w:rsidRPr="00F31BAF">
        <w:rPr>
          <w:rFonts w:ascii="SkolaSans" w:hAnsi="SkolaSans" w:cs="TimesNewRomanPSMT"/>
        </w:rPr>
        <w:t>,</w:t>
      </w:r>
      <w:r w:rsidR="00C10A9D" w:rsidRPr="00F31BAF">
        <w:rPr>
          <w:rFonts w:ascii="SkolaSans" w:hAnsi="SkolaSans" w:cs="TimesNewRomanPSMT"/>
        </w:rPr>
        <w:t xml:space="preserve"> </w:t>
      </w:r>
      <w:r w:rsidR="004642FA" w:rsidRPr="00F31BAF">
        <w:rPr>
          <w:rFonts w:ascii="SkolaSans" w:hAnsi="SkolaSans" w:cs="TimesNewRomanPSMT"/>
        </w:rPr>
        <w:t>во доволна мера</w:t>
      </w:r>
      <w:r w:rsidR="00C409B0" w:rsidRPr="00F31BAF">
        <w:rPr>
          <w:rFonts w:ascii="SkolaSans" w:hAnsi="SkolaSans" w:cs="TimesNewRomanPSMT"/>
        </w:rPr>
        <w:t>,</w:t>
      </w:r>
      <w:r w:rsidR="004642FA" w:rsidRPr="00F31BAF">
        <w:rPr>
          <w:rFonts w:ascii="SkolaSans" w:hAnsi="SkolaSans" w:cs="TimesNewRomanPSMT"/>
        </w:rPr>
        <w:t xml:space="preserve"> </w:t>
      </w:r>
      <w:r w:rsidR="00EB2865" w:rsidRPr="00F31BAF">
        <w:rPr>
          <w:rFonts w:ascii="SkolaSans" w:hAnsi="SkolaSans" w:cs="TimesNewRomanPSMT"/>
        </w:rPr>
        <w:t xml:space="preserve">се </w:t>
      </w:r>
      <w:r w:rsidRPr="00F31BAF">
        <w:rPr>
          <w:rFonts w:ascii="SkolaSans" w:hAnsi="SkolaSans" w:cs="TimesNewRomanPSMT"/>
        </w:rPr>
        <w:t>поткрепени со докази</w:t>
      </w:r>
      <w:r w:rsidR="003B22AA" w:rsidRPr="00F31BAF">
        <w:rPr>
          <w:rFonts w:ascii="SkolaSans" w:hAnsi="SkolaSans" w:cs="TimesNewRomanPSMT"/>
        </w:rPr>
        <w:t xml:space="preserve"> </w:t>
      </w:r>
      <w:r w:rsidR="007179DD" w:rsidRPr="00F31BAF">
        <w:rPr>
          <w:rFonts w:ascii="SkolaSans" w:hAnsi="SkolaSans" w:cs="TimesNewRomanPSMT"/>
        </w:rPr>
        <w:t>за фактите</w:t>
      </w:r>
      <w:r w:rsidRPr="00F31BAF">
        <w:rPr>
          <w:rFonts w:ascii="SkolaSans" w:hAnsi="SkolaSans" w:cs="TimesNewRomanPSMT"/>
        </w:rPr>
        <w:t>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 xml:space="preserve">Постоечки географски шаблони </w:t>
      </w:r>
      <w:r w:rsidR="00EB2865" w:rsidRPr="00F31BAF">
        <w:rPr>
          <w:rFonts w:ascii="SkolaSans" w:hAnsi="SkolaSans" w:cs="TimesNewRomanPS-ItalicMT"/>
          <w:i/>
          <w:iCs/>
        </w:rPr>
        <w:t>н</w:t>
      </w:r>
      <w:r w:rsidRPr="00F31BAF">
        <w:rPr>
          <w:rFonts w:ascii="SkolaSans" w:hAnsi="SkolaSans" w:cs="TimesNewRomanPS-ItalicMT"/>
          <w:i/>
          <w:iCs/>
        </w:rPr>
        <w:t>а купување.</w:t>
      </w:r>
    </w:p>
    <w:p w:rsidR="000614CF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lastRenderedPageBreak/>
        <w:t>Испитувањето на постојните географски шаблони на купување на купувачите дава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корисни докази за можниот обем на географскиот пазар. Кога купувачите купуваат од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претпријатија лоцирани било каде во Републиката </w:t>
      </w:r>
      <w:r w:rsidR="001C07D4" w:rsidRPr="00F31BAF">
        <w:rPr>
          <w:rFonts w:ascii="SkolaSans" w:hAnsi="SkolaSans" w:cs="TimesNewRomanPSMT"/>
        </w:rPr>
        <w:t xml:space="preserve"> под</w:t>
      </w:r>
      <w:r w:rsidRPr="00F31BAF">
        <w:rPr>
          <w:rFonts w:ascii="SkolaSans" w:hAnsi="SkolaSans" w:cs="TimesNewRomanPSMT"/>
        </w:rPr>
        <w:t xml:space="preserve"> слични услови, или ги</w:t>
      </w:r>
      <w:r w:rsidR="00244786" w:rsidRPr="00F31BAF">
        <w:rPr>
          <w:rFonts w:ascii="SkolaSans" w:hAnsi="SkolaSans" w:cs="TimesNewRomanPSMT"/>
        </w:rPr>
        <w:t xml:space="preserve"> </w:t>
      </w:r>
      <w:r w:rsidR="00EB2865" w:rsidRPr="00F31BAF">
        <w:rPr>
          <w:rFonts w:ascii="SkolaSans" w:hAnsi="SkolaSans" w:cs="TimesNewRomanPSMT"/>
        </w:rPr>
        <w:t xml:space="preserve">вршат </w:t>
      </w:r>
      <w:r w:rsidRPr="00F31BAF">
        <w:rPr>
          <w:rFonts w:ascii="SkolaSans" w:hAnsi="SkolaSans" w:cs="TimesNewRomanPSMT"/>
        </w:rPr>
        <w:t xml:space="preserve">своите набавки преку ефективни </w:t>
      </w:r>
      <w:r w:rsidR="00EB2865" w:rsidRPr="00F31BAF">
        <w:rPr>
          <w:rFonts w:ascii="SkolaSans" w:hAnsi="SkolaSans" w:cs="TimesNewRomanPSMT"/>
        </w:rPr>
        <w:t xml:space="preserve">тендерски </w:t>
      </w:r>
      <w:r w:rsidRPr="00F31BAF">
        <w:rPr>
          <w:rFonts w:ascii="SkolaSans" w:hAnsi="SkolaSans" w:cs="TimesNewRomanPSMT"/>
        </w:rPr>
        <w:t xml:space="preserve">постапки </w:t>
      </w:r>
      <w:r w:rsidR="00EB2865" w:rsidRPr="00F31BAF">
        <w:rPr>
          <w:rFonts w:ascii="SkolaSans" w:hAnsi="SkolaSans" w:cs="TimesNewRomanPSMT"/>
        </w:rPr>
        <w:t>во</w:t>
      </w:r>
      <w:r w:rsidRPr="00F31BAF">
        <w:rPr>
          <w:rFonts w:ascii="SkolaSans" w:hAnsi="SkolaSans" w:cs="TimesNewRomanPSMT"/>
        </w:rPr>
        <w:t xml:space="preserve"> кои претпријатија од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Републиката поднесуваат </w:t>
      </w:r>
      <w:r w:rsidR="00EB2865" w:rsidRPr="00F31BAF">
        <w:rPr>
          <w:rFonts w:ascii="SkolaSans" w:hAnsi="SkolaSans" w:cs="TimesNewRomanPSMT"/>
        </w:rPr>
        <w:t>понуда</w:t>
      </w:r>
      <w:r w:rsidRPr="00F31BAF">
        <w:rPr>
          <w:rFonts w:ascii="SkolaSans" w:hAnsi="SkolaSans" w:cs="TimesNewRomanPSMT"/>
        </w:rPr>
        <w:t xml:space="preserve">, вообичаено </w:t>
      </w:r>
      <w:r w:rsidR="007E0EA8" w:rsidRPr="00F31BAF">
        <w:rPr>
          <w:rFonts w:ascii="SkolaSans" w:hAnsi="SkolaSans" w:cs="TimesNewRomanPSMT"/>
        </w:rPr>
        <w:t xml:space="preserve">ќе се смета дека </w:t>
      </w:r>
      <w:r w:rsidRPr="00F31BAF">
        <w:rPr>
          <w:rFonts w:ascii="SkolaSans" w:hAnsi="SkolaSans" w:cs="TimesNewRomanPSMT"/>
        </w:rPr>
        <w:t>географскиот пазар 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целата територија на Република Македонија</w:t>
      </w:r>
      <w:r w:rsidR="000614CF">
        <w:rPr>
          <w:rFonts w:ascii="SkolaSans" w:hAnsi="SkolaSans" w:cs="TimesNewRomanPSMT"/>
        </w:rPr>
        <w:t xml:space="preserve">. Кога пак </w:t>
      </w:r>
      <w:r w:rsidR="007E0EA8" w:rsidRPr="00F31BAF">
        <w:rPr>
          <w:rFonts w:ascii="SkolaSans" w:hAnsi="SkolaSans" w:cs="TimesNewRomanPSMT"/>
        </w:rPr>
        <w:t xml:space="preserve"> </w:t>
      </w:r>
      <w:r w:rsidR="000614CF" w:rsidRPr="00F31BAF">
        <w:rPr>
          <w:rFonts w:ascii="SkolaSans" w:hAnsi="SkolaSans" w:cs="TimesNewRomanPSMT"/>
        </w:rPr>
        <w:t xml:space="preserve">купувачите купуваат од претпријатија </w:t>
      </w:r>
      <w:r w:rsidR="000614CF">
        <w:rPr>
          <w:rFonts w:ascii="SkolaSans" w:hAnsi="SkolaSans" w:cs="TimesNewRomanPSMT"/>
        </w:rPr>
        <w:t>кои се л</w:t>
      </w:r>
      <w:r w:rsidR="000614CF" w:rsidRPr="00F31BAF">
        <w:rPr>
          <w:rFonts w:ascii="SkolaSans" w:hAnsi="SkolaSans" w:cs="TimesNewRomanPSMT"/>
        </w:rPr>
        <w:t xml:space="preserve">оцирани </w:t>
      </w:r>
      <w:r w:rsidR="000614CF">
        <w:rPr>
          <w:rFonts w:ascii="SkolaSans" w:hAnsi="SkolaSans" w:cs="TimesNewRomanPSMT"/>
        </w:rPr>
        <w:t xml:space="preserve">и надвор од </w:t>
      </w:r>
      <w:r w:rsidR="000614CF" w:rsidRPr="00F31BAF">
        <w:rPr>
          <w:rFonts w:ascii="SkolaSans" w:hAnsi="SkolaSans" w:cs="TimesNewRomanPSMT"/>
        </w:rPr>
        <w:t xml:space="preserve"> Р</w:t>
      </w:r>
      <w:r w:rsidR="000614CF">
        <w:rPr>
          <w:rFonts w:ascii="SkolaSans" w:hAnsi="SkolaSans" w:cs="TimesNewRomanPSMT"/>
        </w:rPr>
        <w:t>епублика Македонија</w:t>
      </w:r>
      <w:r w:rsidR="000614CF" w:rsidRPr="00F31BAF">
        <w:rPr>
          <w:rFonts w:ascii="SkolaSans" w:hAnsi="SkolaSans" w:cs="TimesNewRomanPSMT"/>
        </w:rPr>
        <w:t xml:space="preserve">  под слични услови, или ги вршат своите набавки преку ефективни тендерски постапки во кои</w:t>
      </w:r>
      <w:r w:rsidR="000614CF">
        <w:rPr>
          <w:rFonts w:ascii="SkolaSans" w:hAnsi="SkolaSans" w:cs="TimesNewRomanPSMT"/>
        </w:rPr>
        <w:t xml:space="preserve"> и </w:t>
      </w:r>
      <w:r w:rsidR="000614CF" w:rsidRPr="00F31BAF">
        <w:rPr>
          <w:rFonts w:ascii="SkolaSans" w:hAnsi="SkolaSans" w:cs="TimesNewRomanPSMT"/>
        </w:rPr>
        <w:t xml:space="preserve">претпријатија </w:t>
      </w:r>
      <w:r w:rsidR="000614CF">
        <w:rPr>
          <w:rFonts w:ascii="SkolaSans" w:hAnsi="SkolaSans" w:cs="TimesNewRomanPSMT"/>
        </w:rPr>
        <w:t xml:space="preserve">надвор </w:t>
      </w:r>
      <w:r w:rsidR="000614CF" w:rsidRPr="00F31BAF">
        <w:rPr>
          <w:rFonts w:ascii="SkolaSans" w:hAnsi="SkolaSans" w:cs="TimesNewRomanPSMT"/>
        </w:rPr>
        <w:t>од Република</w:t>
      </w:r>
      <w:r w:rsidR="000614CF">
        <w:rPr>
          <w:rFonts w:ascii="SkolaSans" w:hAnsi="SkolaSans" w:cs="TimesNewRomanPSMT"/>
        </w:rPr>
        <w:t xml:space="preserve"> Македонија </w:t>
      </w:r>
      <w:r w:rsidR="000614CF" w:rsidRPr="00F31BAF">
        <w:rPr>
          <w:rFonts w:ascii="SkolaSans" w:hAnsi="SkolaSans" w:cs="TimesNewRomanPSMT"/>
        </w:rPr>
        <w:t xml:space="preserve">поднесуваат понуда, вообичаено ќе се смета дека географскиот пазар е </w:t>
      </w:r>
      <w:r w:rsidR="000614CF">
        <w:rPr>
          <w:rFonts w:ascii="SkolaSans" w:hAnsi="SkolaSans" w:cs="TimesNewRomanPSMT"/>
        </w:rPr>
        <w:t xml:space="preserve">поширок од </w:t>
      </w:r>
      <w:r w:rsidR="000614CF" w:rsidRPr="00F31BAF">
        <w:rPr>
          <w:rFonts w:ascii="SkolaSans" w:hAnsi="SkolaSans" w:cs="TimesNewRomanPSMT"/>
        </w:rPr>
        <w:t xml:space="preserve"> територија</w:t>
      </w:r>
      <w:r w:rsidR="000614CF">
        <w:rPr>
          <w:rFonts w:ascii="SkolaSans" w:hAnsi="SkolaSans" w:cs="TimesNewRomanPSMT"/>
        </w:rPr>
        <w:t>та</w:t>
      </w:r>
      <w:r w:rsidR="000614CF" w:rsidRPr="00F31BAF">
        <w:rPr>
          <w:rFonts w:ascii="SkolaSans" w:hAnsi="SkolaSans" w:cs="TimesNewRomanPSMT"/>
        </w:rPr>
        <w:t xml:space="preserve"> на Република Македонија</w:t>
      </w:r>
      <w:r w:rsidR="000614CF">
        <w:rPr>
          <w:rFonts w:ascii="SkolaSans" w:hAnsi="SkolaSans" w:cs="TimesNewRomanPSMT"/>
        </w:rPr>
        <w:t xml:space="preserve">. 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Трговски текови/шаблони на пратки.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Кога бројот на клиенти е толку голем што не е можно преку нив да се добие јасна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слика за географските шаблони </w:t>
      </w:r>
      <w:r w:rsidR="00CE0B41" w:rsidRPr="00F31BAF">
        <w:rPr>
          <w:rFonts w:ascii="SkolaSans" w:hAnsi="SkolaSans" w:cs="TimesNewRomanPSMT"/>
        </w:rPr>
        <w:t>н</w:t>
      </w:r>
      <w:r w:rsidRPr="00F31BAF">
        <w:rPr>
          <w:rFonts w:ascii="SkolaSans" w:hAnsi="SkolaSans" w:cs="TimesNewRomanPSMT"/>
        </w:rPr>
        <w:t xml:space="preserve">а купување, </w:t>
      </w:r>
      <w:r w:rsidR="00CE0B41" w:rsidRPr="00F31BAF">
        <w:rPr>
          <w:rFonts w:ascii="SkolaSans" w:hAnsi="SkolaSans" w:cs="TimesNewRomanPSMT"/>
        </w:rPr>
        <w:t xml:space="preserve">може алтернативно да се користат </w:t>
      </w:r>
      <w:r w:rsidRPr="00F31BAF">
        <w:rPr>
          <w:rFonts w:ascii="SkolaSans" w:hAnsi="SkolaSans" w:cs="TimesNewRomanPSMT"/>
        </w:rPr>
        <w:t xml:space="preserve">информации за трговските текови, под услов да </w:t>
      </w:r>
      <w:r w:rsidR="00CE0B41" w:rsidRPr="00F31BAF">
        <w:rPr>
          <w:rFonts w:ascii="SkolaSans" w:hAnsi="SkolaSans" w:cs="TimesNewRomanPSMT"/>
        </w:rPr>
        <w:t xml:space="preserve">се </w:t>
      </w:r>
      <w:r w:rsidRPr="00F31BAF">
        <w:rPr>
          <w:rFonts w:ascii="SkolaSans" w:hAnsi="SkolaSans" w:cs="TimesNewRomanPSMT"/>
        </w:rPr>
        <w:t xml:space="preserve">достапни </w:t>
      </w:r>
      <w:r w:rsidR="00CE0B41" w:rsidRPr="00F31BAF">
        <w:rPr>
          <w:rFonts w:ascii="SkolaSans" w:hAnsi="SkolaSans" w:cs="TimesNewRomanPSMT"/>
        </w:rPr>
        <w:t xml:space="preserve">доволно детални </w:t>
      </w:r>
      <w:r w:rsidRPr="00F31BAF">
        <w:rPr>
          <w:rFonts w:ascii="SkolaSans" w:hAnsi="SkolaSans" w:cs="TimesNewRomanPSMT"/>
        </w:rPr>
        <w:t>трговски статистички податоци за релевантните стоки. Трговските текови, и пред се, причините за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таквите трговски текови обезбедува</w:t>
      </w:r>
      <w:r w:rsidR="00CE0B41" w:rsidRPr="00F31BAF">
        <w:rPr>
          <w:rFonts w:ascii="SkolaSans" w:hAnsi="SkolaSans" w:cs="TimesNewRomanPSMT"/>
        </w:rPr>
        <w:t>ат</w:t>
      </w:r>
      <w:r w:rsidRPr="00F31BAF">
        <w:rPr>
          <w:rFonts w:ascii="SkolaSans" w:hAnsi="SkolaSans" w:cs="TimesNewRomanPSMT"/>
        </w:rPr>
        <w:t xml:space="preserve"> корисен увид и информации за утврдување</w:t>
      </w:r>
      <w:r w:rsidR="0024478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обемот на географскиот пазар, но самите по себе не се одлучувачки.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-ItalicMT"/>
          <w:i/>
          <w:iCs/>
        </w:rPr>
      </w:pPr>
      <w:r w:rsidRPr="00F31BAF">
        <w:rPr>
          <w:rFonts w:ascii="SkolaSans" w:hAnsi="SkolaSans" w:cs="TimesNewRomanPS-ItalicMT"/>
          <w:i/>
          <w:iCs/>
        </w:rPr>
        <w:t>Пречки и трошоци за замена поврзани со пренасочување на нарачките кон</w:t>
      </w:r>
      <w:r w:rsidR="00244786" w:rsidRPr="00F31BAF">
        <w:rPr>
          <w:rFonts w:ascii="SkolaSans" w:hAnsi="SkolaSans" w:cs="TimesNewRomanPS-ItalicMT"/>
          <w:i/>
          <w:iCs/>
        </w:rPr>
        <w:t xml:space="preserve"> </w:t>
      </w:r>
      <w:r w:rsidRPr="00F31BAF">
        <w:rPr>
          <w:rFonts w:ascii="SkolaSans" w:hAnsi="SkolaSans" w:cs="TimesNewRomanPS-ItalicMT"/>
          <w:i/>
          <w:iCs/>
        </w:rPr>
        <w:t>претпријатија лоцирани на други територии.</w:t>
      </w:r>
    </w:p>
    <w:p w:rsidR="003802A0" w:rsidRDefault="00F83E03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Отсуството на прекугранични купопродажби или трговски текови, на пример, не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значи дека најширокото можно дефинирање на географскиот пазар е националното.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Сепак, </w:t>
      </w:r>
      <w:r w:rsidR="001838CA" w:rsidRPr="00F31BAF">
        <w:rPr>
          <w:rFonts w:ascii="SkolaSans" w:hAnsi="SkolaSans" w:cs="TimesNewRomanPSMT"/>
        </w:rPr>
        <w:t xml:space="preserve">треба да се идентификуваат </w:t>
      </w:r>
      <w:r w:rsidRPr="00F31BAF">
        <w:rPr>
          <w:rFonts w:ascii="SkolaSans" w:hAnsi="SkolaSans" w:cs="TimesNewRomanPSMT"/>
        </w:rPr>
        <w:t>пречките кои го изолираат националниот пазар пред да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се заклучи дека релевантниот географски пазар во </w:t>
      </w:r>
      <w:r w:rsidR="001838CA" w:rsidRPr="00F31BAF">
        <w:rPr>
          <w:rFonts w:ascii="SkolaSans" w:hAnsi="SkolaSans" w:cs="TimesNewRomanPSMT"/>
        </w:rPr>
        <w:t xml:space="preserve">конкретниот </w:t>
      </w:r>
      <w:r w:rsidRPr="00F31BAF">
        <w:rPr>
          <w:rFonts w:ascii="SkolaSans" w:hAnsi="SkolaSans" w:cs="TimesNewRomanPSMT"/>
        </w:rPr>
        <w:t>случа</w:t>
      </w:r>
      <w:r w:rsidR="001838CA" w:rsidRPr="00F31BAF">
        <w:rPr>
          <w:rFonts w:ascii="SkolaSans" w:hAnsi="SkolaSans" w:cs="TimesNewRomanPSMT"/>
        </w:rPr>
        <w:t>ј</w:t>
      </w:r>
      <w:r w:rsidRPr="00F31BAF">
        <w:rPr>
          <w:rFonts w:ascii="SkolaSans" w:hAnsi="SkolaSans" w:cs="TimesNewRomanPSMT"/>
        </w:rPr>
        <w:t xml:space="preserve"> е национален. Можеби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најјасната пречка за купувачот да ги пренасочи неговите нарачки кон други територии 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влијанието на транспортните трошоци и транспортни ограничувања кои произлегуваат од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законодавството или од самата природа на релевантните стоки. Влијанието на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транспортните трошоци вообичаено ќе го ограничи обемот на географскиот пазар за голем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број на кабасти стоки</w:t>
      </w:r>
      <w:r w:rsidR="001838CA" w:rsidRPr="00F31BAF">
        <w:rPr>
          <w:rFonts w:ascii="SkolaSans" w:hAnsi="SkolaSans" w:cs="TimesNewRomanPSMT"/>
        </w:rPr>
        <w:t xml:space="preserve"> со мала вредност</w:t>
      </w:r>
      <w:r w:rsidRPr="00F31BAF">
        <w:rPr>
          <w:rFonts w:ascii="SkolaSans" w:hAnsi="SkolaSans" w:cs="TimesNewRomanPSMT"/>
        </w:rPr>
        <w:t xml:space="preserve">, притоа имајќи на ум дека транспортните слабости </w:t>
      </w:r>
      <w:r w:rsidR="007179DD" w:rsidRPr="00F31BAF">
        <w:rPr>
          <w:rFonts w:ascii="SkolaSans" w:hAnsi="SkolaSans" w:cs="TimesNewRomanPSMT"/>
        </w:rPr>
        <w:t xml:space="preserve">исто така </w:t>
      </w:r>
      <w:r w:rsidRPr="00F31BAF">
        <w:rPr>
          <w:rFonts w:ascii="SkolaSans" w:hAnsi="SkolaSans" w:cs="TimesNewRomanPSMT"/>
        </w:rPr>
        <w:t>може да се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компензираат со компаративни предности на другите трошоци (</w:t>
      </w:r>
      <w:r w:rsidR="00192666" w:rsidRPr="00F31BAF">
        <w:rPr>
          <w:rFonts w:ascii="SkolaSans" w:hAnsi="SkolaSans" w:cs="TimesNewRomanPSMT"/>
        </w:rPr>
        <w:t xml:space="preserve">трошоци за </w:t>
      </w:r>
      <w:r w:rsidRPr="00F31BAF">
        <w:rPr>
          <w:rFonts w:ascii="SkolaSans" w:hAnsi="SkolaSans" w:cs="TimesNewRomanPSMT"/>
        </w:rPr>
        <w:t>работн</w:t>
      </w:r>
      <w:r w:rsidR="00192666" w:rsidRPr="00F31BAF">
        <w:rPr>
          <w:rFonts w:ascii="SkolaSans" w:hAnsi="SkolaSans" w:cs="TimesNewRomanPSMT"/>
        </w:rPr>
        <w:t xml:space="preserve">а сила </w:t>
      </w:r>
      <w:r w:rsidRPr="00F31BAF">
        <w:rPr>
          <w:rFonts w:ascii="SkolaSans" w:hAnsi="SkolaSans" w:cs="TimesNewRomanPSMT"/>
        </w:rPr>
        <w:t>или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суровини). Пристапот до дистрибуција во дадена средина, </w:t>
      </w:r>
      <w:r w:rsidR="00192666" w:rsidRPr="00F31BAF">
        <w:rPr>
          <w:rFonts w:ascii="SkolaSans" w:hAnsi="SkolaSans" w:cs="TimesNewRomanPSMT"/>
        </w:rPr>
        <w:t>правните</w:t>
      </w:r>
      <w:r w:rsidRPr="00F31BAF">
        <w:rPr>
          <w:rFonts w:ascii="SkolaSans" w:hAnsi="SkolaSans" w:cs="TimesNewRomanPSMT"/>
        </w:rPr>
        <w:t xml:space="preserve"> пречки кои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се</w:t>
      </w:r>
      <w:r w:rsidR="0019266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уште постојат во одредени сектори, квотите и царините </w:t>
      </w:r>
      <w:r w:rsidR="007179DD" w:rsidRPr="00F31BAF">
        <w:rPr>
          <w:rFonts w:ascii="SkolaSans" w:hAnsi="SkolaSans" w:cs="TimesNewRomanPSMT"/>
        </w:rPr>
        <w:t xml:space="preserve">исто така </w:t>
      </w:r>
      <w:r w:rsidRPr="00F31BAF">
        <w:rPr>
          <w:rFonts w:ascii="SkolaSans" w:hAnsi="SkolaSans" w:cs="TimesNewRomanPSMT"/>
        </w:rPr>
        <w:t>мож</w:t>
      </w:r>
      <w:r w:rsidR="007179DD" w:rsidRPr="00F31BAF">
        <w:rPr>
          <w:rFonts w:ascii="SkolaSans" w:hAnsi="SkolaSans" w:cs="TimesNewRomanPSMT"/>
        </w:rPr>
        <w:t>ат</w:t>
      </w:r>
      <w:r w:rsidRPr="00F31BAF">
        <w:rPr>
          <w:rFonts w:ascii="SkolaSans" w:hAnsi="SkolaSans" w:cs="TimesNewRomanPSMT"/>
        </w:rPr>
        <w:t xml:space="preserve"> да претставуваат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пречки кои ја изолираат географската територија од конкурентскиот притисок на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претпријатијата лоцирани надвор од таа територија. </w:t>
      </w:r>
      <w:r w:rsidR="00192666" w:rsidRPr="00F31BAF">
        <w:rPr>
          <w:rFonts w:ascii="SkolaSans" w:hAnsi="SkolaSans" w:cs="TimesNewRomanPSMT"/>
        </w:rPr>
        <w:t>Дополнителен извор на пречки од овој тип претставува</w:t>
      </w:r>
      <w:r w:rsidR="00C409B0" w:rsidRPr="00F31BAF">
        <w:rPr>
          <w:rFonts w:ascii="SkolaSans" w:hAnsi="SkolaSans" w:cs="TimesNewRomanPSMT"/>
        </w:rPr>
        <w:t>ат</w:t>
      </w:r>
      <w:r w:rsidR="00192666" w:rsidRPr="00F31BAF">
        <w:rPr>
          <w:rFonts w:ascii="SkolaSans" w:hAnsi="SkolaSans" w:cs="TimesNewRomanPSMT"/>
        </w:rPr>
        <w:t xml:space="preserve"> и з</w:t>
      </w:r>
      <w:r w:rsidRPr="00F31BAF">
        <w:rPr>
          <w:rFonts w:ascii="SkolaSans" w:hAnsi="SkolaSans" w:cs="TimesNewRomanPSMT"/>
        </w:rPr>
        <w:t>нач</w:t>
      </w:r>
      <w:r w:rsidR="00192666" w:rsidRPr="00F31BAF">
        <w:rPr>
          <w:rFonts w:ascii="SkolaSans" w:hAnsi="SkolaSans" w:cs="TimesNewRomanPSMT"/>
        </w:rPr>
        <w:t>ителни</w:t>
      </w:r>
      <w:r w:rsidR="00C409B0" w:rsidRPr="00F31BAF">
        <w:rPr>
          <w:rFonts w:ascii="SkolaSans" w:hAnsi="SkolaSans" w:cs="TimesNewRomanPSMT"/>
        </w:rPr>
        <w:t>те</w:t>
      </w:r>
      <w:r w:rsidR="0019266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трошоци за префрлување </w:t>
      </w:r>
      <w:r w:rsidR="00192666" w:rsidRPr="00F31BAF">
        <w:rPr>
          <w:rFonts w:ascii="SkolaSans" w:hAnsi="SkolaSans" w:cs="TimesNewRomanPSMT"/>
        </w:rPr>
        <w:t>на в</w:t>
      </w:r>
      <w:r w:rsidRPr="00F31BAF">
        <w:rPr>
          <w:rFonts w:ascii="SkolaSans" w:hAnsi="SkolaSans" w:cs="TimesNewRomanPSMT"/>
        </w:rPr>
        <w:t>ршењето набавки од претпријатија лоцирани во други држави.</w:t>
      </w:r>
      <w:r w:rsidR="001F1EF8" w:rsidRPr="00F31BAF">
        <w:rPr>
          <w:rFonts w:ascii="SkolaSans" w:hAnsi="SkolaSans" w:cs="TimesNewRomanPSMT"/>
        </w:rPr>
        <w:t xml:space="preserve"> 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Врз основа на прибавените докази, Комисијата ќе го дефинира географскиот пазар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кој може да </w:t>
      </w:r>
      <w:r w:rsidR="00192666" w:rsidRPr="00F31BAF">
        <w:rPr>
          <w:rFonts w:ascii="SkolaSans" w:hAnsi="SkolaSans" w:cs="TimesNewRomanPSMT"/>
        </w:rPr>
        <w:t xml:space="preserve">варира </w:t>
      </w:r>
      <w:r w:rsidRPr="00F31BAF">
        <w:rPr>
          <w:rFonts w:ascii="SkolaSans" w:hAnsi="SkolaSans" w:cs="TimesNewRomanPSMT"/>
        </w:rPr>
        <w:t>од локал</w:t>
      </w:r>
      <w:r w:rsidR="00192666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 xml:space="preserve">н </w:t>
      </w:r>
      <w:r w:rsidR="00192666" w:rsidRPr="00F31BAF">
        <w:rPr>
          <w:rFonts w:ascii="SkolaSans" w:hAnsi="SkolaSans" w:cs="TimesNewRomanPSMT"/>
        </w:rPr>
        <w:t xml:space="preserve">до </w:t>
      </w:r>
      <w:r w:rsidRPr="00F31BAF">
        <w:rPr>
          <w:rFonts w:ascii="SkolaSans" w:hAnsi="SkolaSans" w:cs="TimesNewRomanPSMT"/>
        </w:rPr>
        <w:t>глобал</w:t>
      </w:r>
      <w:r w:rsidR="00192666" w:rsidRPr="00F31BAF">
        <w:rPr>
          <w:rFonts w:ascii="SkolaSans" w:hAnsi="SkolaSans" w:cs="TimesNewRomanPSMT"/>
        </w:rPr>
        <w:t>ен</w:t>
      </w:r>
      <w:r w:rsidRPr="00F31BAF">
        <w:rPr>
          <w:rFonts w:ascii="SkolaSans" w:hAnsi="SkolaSans" w:cs="TimesNewRomanPSMT"/>
        </w:rPr>
        <w:t>.</w:t>
      </w:r>
    </w:p>
    <w:p w:rsidR="00F83E03" w:rsidRPr="00F31BAF" w:rsidRDefault="00F83E03" w:rsidP="00F528B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Горе </w:t>
      </w:r>
      <w:r w:rsidR="00C409B0" w:rsidRPr="00F31BAF">
        <w:rPr>
          <w:rFonts w:ascii="SkolaSans" w:hAnsi="SkolaSans" w:cs="TimesNewRomanPSMT"/>
        </w:rPr>
        <w:t xml:space="preserve">наведеното </w:t>
      </w:r>
      <w:r w:rsidRPr="00F31BAF">
        <w:rPr>
          <w:rFonts w:ascii="SkolaSans" w:hAnsi="SkolaSans" w:cs="TimesNewRomanPSMT"/>
        </w:rPr>
        <w:t>ги опишува различните фактори кои мож</w:t>
      </w:r>
      <w:r w:rsidR="00C409B0" w:rsidRPr="00F31BAF">
        <w:rPr>
          <w:rFonts w:ascii="SkolaSans" w:hAnsi="SkolaSans" w:cs="TimesNewRomanPSMT"/>
        </w:rPr>
        <w:t>ат</w:t>
      </w:r>
      <w:r w:rsidRPr="00F31BAF">
        <w:rPr>
          <w:rFonts w:ascii="SkolaSans" w:hAnsi="SkolaSans" w:cs="TimesNewRomanPSMT"/>
        </w:rPr>
        <w:t xml:space="preserve"> да бидат релевантни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за дефинирање на пазарите. Ова не значи дека во секој индивидуален случај ќе биде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потребно да се соберат докази и да се оцени секој од овие фактори. </w:t>
      </w:r>
      <w:r w:rsidR="00E91017" w:rsidRPr="00F31BAF">
        <w:rPr>
          <w:rFonts w:ascii="SkolaSans" w:hAnsi="SkolaSans" w:cs="TimesNewRomanPSMT"/>
        </w:rPr>
        <w:t>В</w:t>
      </w:r>
      <w:r w:rsidRPr="00F31BAF">
        <w:rPr>
          <w:rFonts w:ascii="SkolaSans" w:hAnsi="SkolaSans" w:cs="TimesNewRomanPSMT"/>
        </w:rPr>
        <w:t>о праксата</w:t>
      </w:r>
      <w:r w:rsidR="00E91017" w:rsidRPr="00F31BAF">
        <w:rPr>
          <w:rFonts w:ascii="SkolaSans" w:hAnsi="SkolaSans" w:cs="TimesNewRomanPSMT"/>
        </w:rPr>
        <w:t xml:space="preserve"> често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доказите обезбедени од </w:t>
      </w:r>
      <w:r w:rsidR="00E91017" w:rsidRPr="00F31BAF">
        <w:rPr>
          <w:rFonts w:ascii="SkolaSans" w:hAnsi="SkolaSans" w:cs="TimesNewRomanPSMT"/>
        </w:rPr>
        <w:t xml:space="preserve">дел од </w:t>
      </w:r>
      <w:r w:rsidRPr="00F31BAF">
        <w:rPr>
          <w:rFonts w:ascii="SkolaSans" w:hAnsi="SkolaSans" w:cs="TimesNewRomanPSMT"/>
        </w:rPr>
        <w:t>овие фактори ќе бидат доволни за донесување на заклучок.</w:t>
      </w:r>
      <w:r w:rsidR="001F1EF8" w:rsidRPr="00F31BAF">
        <w:rPr>
          <w:rFonts w:ascii="SkolaSans" w:hAnsi="SkolaSans" w:cs="TimesNewRomanPSMT"/>
        </w:rPr>
        <w:t xml:space="preserve"> </w:t>
      </w:r>
    </w:p>
    <w:p w:rsidR="00F528B0" w:rsidRDefault="00F528B0" w:rsidP="00F528B0">
      <w:pPr>
        <w:pStyle w:val="Heading1"/>
        <w:spacing w:before="120" w:after="240"/>
        <w:rPr>
          <w:rFonts w:ascii="SkolaSans" w:hAnsi="SkolaSans"/>
          <w:color w:val="auto"/>
          <w:sz w:val="22"/>
          <w:szCs w:val="22"/>
        </w:rPr>
      </w:pPr>
    </w:p>
    <w:p w:rsidR="003802A0" w:rsidRDefault="00F83E03">
      <w:pPr>
        <w:pStyle w:val="Heading1"/>
        <w:spacing w:before="120" w:after="240"/>
        <w:rPr>
          <w:rFonts w:ascii="SkolaSans" w:hAnsi="SkolaSans"/>
        </w:rPr>
      </w:pPr>
      <w:bookmarkStart w:id="23" w:name="_Toc292717612"/>
      <w:r w:rsidRPr="00F31BAF">
        <w:rPr>
          <w:rFonts w:ascii="SkolaSans" w:hAnsi="SkolaSans"/>
          <w:color w:val="auto"/>
          <w:sz w:val="22"/>
          <w:szCs w:val="22"/>
        </w:rPr>
        <w:t>IV. ПРЕСМЕТУВАЊЕ НА ПАЗАРНИ УДЕЛИ</w:t>
      </w:r>
      <w:bookmarkEnd w:id="23"/>
    </w:p>
    <w:p w:rsidR="003802A0" w:rsidRDefault="00F83E03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Дефинирањето на релевантниот пазар односно дефинирањето на релевантниот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пазар на стоки и релевантниот географски пазар дозволува идентификување на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снабдувачите и купувачите/потрошувачите кои се активни на тој пазар. Врз таа основа,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вкупната големина на пазарот и пазарните удели за секој снабдувач може да се пресметаат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врз основа на нивните продажби на релевантни стоки во релевантната т</w:t>
      </w:r>
      <w:r w:rsidR="007B50DD" w:rsidRPr="00F31BAF">
        <w:rPr>
          <w:rFonts w:ascii="SkolaSans" w:hAnsi="SkolaSans" w:cs="TimesNewRomanPSMT"/>
        </w:rPr>
        <w:t>е</w:t>
      </w:r>
      <w:r w:rsidRPr="00F31BAF">
        <w:rPr>
          <w:rFonts w:ascii="SkolaSans" w:hAnsi="SkolaSans" w:cs="TimesNewRomanPSMT"/>
        </w:rPr>
        <w:t>риторија. Во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пракса, вкупната големина на пазарот и пазарните удели се често </w:t>
      </w:r>
      <w:r w:rsidR="007B50DD" w:rsidRPr="00F31BAF">
        <w:rPr>
          <w:rFonts w:ascii="SkolaSans" w:hAnsi="SkolaSans" w:cs="TimesNewRomanPSMT"/>
        </w:rPr>
        <w:t xml:space="preserve">достапни </w:t>
      </w:r>
      <w:r w:rsidRPr="00F31BAF">
        <w:rPr>
          <w:rFonts w:ascii="SkolaSans" w:hAnsi="SkolaSans" w:cs="TimesNewRomanPSMT"/>
        </w:rPr>
        <w:t>од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пазарни извори, на пример </w:t>
      </w:r>
      <w:r w:rsidR="007B50DD" w:rsidRPr="00F31BAF">
        <w:rPr>
          <w:rFonts w:ascii="SkolaSans" w:hAnsi="SkolaSans" w:cs="TimesNewRomanPSMT"/>
        </w:rPr>
        <w:t>проценки</w:t>
      </w:r>
      <w:r w:rsidRPr="00F31BAF">
        <w:rPr>
          <w:rFonts w:ascii="SkolaSans" w:hAnsi="SkolaSans" w:cs="TimesNewRomanPSMT"/>
        </w:rPr>
        <w:t xml:space="preserve"> на претпријатијата, спроведени студии </w:t>
      </w:r>
      <w:r w:rsidR="00782284" w:rsidRPr="00F31BAF">
        <w:rPr>
          <w:rFonts w:ascii="SkolaSans" w:hAnsi="SkolaSans" w:cs="TimesNewRomanPSMT"/>
        </w:rPr>
        <w:t xml:space="preserve">од експерти по одделни индустриски гранки </w:t>
      </w:r>
      <w:r w:rsidRPr="00F31BAF">
        <w:rPr>
          <w:rFonts w:ascii="SkolaSans" w:hAnsi="SkolaSans" w:cs="TimesNewRomanPSMT"/>
        </w:rPr>
        <w:t>и/или трговски здруженија.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Кога ова не е случај, или кога располож</w:t>
      </w:r>
      <w:r w:rsidR="007B50DD" w:rsidRPr="00F31BAF">
        <w:rPr>
          <w:rFonts w:ascii="SkolaSans" w:hAnsi="SkolaSans" w:cs="TimesNewRomanPSMT"/>
        </w:rPr>
        <w:t>л</w:t>
      </w:r>
      <w:r w:rsidRPr="00F31BAF">
        <w:rPr>
          <w:rFonts w:ascii="SkolaSans" w:hAnsi="SkolaSans" w:cs="TimesNewRomanPSMT"/>
        </w:rPr>
        <w:t xml:space="preserve">ивите </w:t>
      </w:r>
      <w:r w:rsidR="007B50DD" w:rsidRPr="00F31BAF">
        <w:rPr>
          <w:rFonts w:ascii="SkolaSans" w:hAnsi="SkolaSans" w:cs="TimesNewRomanPSMT"/>
        </w:rPr>
        <w:t xml:space="preserve">проценки </w:t>
      </w:r>
      <w:r w:rsidRPr="00F31BAF">
        <w:rPr>
          <w:rFonts w:ascii="SkolaSans" w:hAnsi="SkolaSans" w:cs="TimesNewRomanPSMT"/>
        </w:rPr>
        <w:t xml:space="preserve">не се </w:t>
      </w:r>
      <w:r w:rsidR="00FF3676" w:rsidRPr="00F31BAF">
        <w:rPr>
          <w:rFonts w:ascii="SkolaSans" w:hAnsi="SkolaSans" w:cs="TimesNewRomanPSMT"/>
        </w:rPr>
        <w:t>веродостојни</w:t>
      </w:r>
      <w:r w:rsidRPr="00F31BAF">
        <w:rPr>
          <w:rFonts w:ascii="SkolaSans" w:hAnsi="SkolaSans" w:cs="TimesNewRomanPSMT"/>
        </w:rPr>
        <w:t>, Комисијата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вообичаено</w:t>
      </w:r>
      <w:r w:rsidR="00FF3676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ќе </w:t>
      </w:r>
      <w:r w:rsidR="00FF3676" w:rsidRPr="00F31BAF">
        <w:rPr>
          <w:rFonts w:ascii="SkolaSans" w:hAnsi="SkolaSans" w:cs="TimesNewRomanPSMT"/>
        </w:rPr>
        <w:t>по</w:t>
      </w:r>
      <w:r w:rsidRPr="00F31BAF">
        <w:rPr>
          <w:rFonts w:ascii="SkolaSans" w:hAnsi="SkolaSans" w:cs="TimesNewRomanPSMT"/>
        </w:rPr>
        <w:t xml:space="preserve">бара податоци </w:t>
      </w:r>
      <w:r w:rsidR="00FF3676" w:rsidRPr="00F31BAF">
        <w:rPr>
          <w:rFonts w:ascii="SkolaSans" w:hAnsi="SkolaSans" w:cs="TimesNewRomanPSMT"/>
        </w:rPr>
        <w:t xml:space="preserve">од секој снабдувач на релевантниот пазар </w:t>
      </w:r>
      <w:r w:rsidRPr="00F31BAF">
        <w:rPr>
          <w:rFonts w:ascii="SkolaSans" w:hAnsi="SkolaSans" w:cs="TimesNewRomanPSMT"/>
        </w:rPr>
        <w:t>за</w:t>
      </w:r>
      <w:r w:rsidR="001F1EF8" w:rsidRPr="00F31BAF">
        <w:rPr>
          <w:rFonts w:ascii="SkolaSans" w:hAnsi="SkolaSans" w:cs="TimesNewRomanPSMT"/>
        </w:rPr>
        <w:t xml:space="preserve"> </w:t>
      </w:r>
      <w:r w:rsidR="00FF3676" w:rsidRPr="00F31BAF">
        <w:rPr>
          <w:rFonts w:ascii="SkolaSans" w:hAnsi="SkolaSans" w:cs="TimesNewRomanPSMT"/>
        </w:rPr>
        <w:t xml:space="preserve">неговите </w:t>
      </w:r>
      <w:r w:rsidRPr="00F31BAF">
        <w:rPr>
          <w:rFonts w:ascii="SkolaSans" w:hAnsi="SkolaSans" w:cs="TimesNewRomanPSMT"/>
        </w:rPr>
        <w:t xml:space="preserve">продажби со цел да </w:t>
      </w:r>
      <w:r w:rsidR="00FF3676" w:rsidRPr="00F31BAF">
        <w:rPr>
          <w:rFonts w:ascii="SkolaSans" w:hAnsi="SkolaSans" w:cs="TimesNewRomanPSMT"/>
        </w:rPr>
        <w:t>ја</w:t>
      </w:r>
      <w:r w:rsidRPr="00F31BAF">
        <w:rPr>
          <w:rFonts w:ascii="SkolaSans" w:hAnsi="SkolaSans" w:cs="TimesNewRomanPSMT"/>
        </w:rPr>
        <w:t xml:space="preserve"> пресмета вкупната големина на пазарот и пазарните удели.</w:t>
      </w:r>
    </w:p>
    <w:p w:rsidR="003802A0" w:rsidRDefault="00F83E03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Иако продажбите се најчест</w:t>
      </w:r>
      <w:r w:rsidR="00995C0A" w:rsidRPr="00F31BAF">
        <w:rPr>
          <w:rFonts w:ascii="SkolaSans" w:hAnsi="SkolaSans" w:cs="TimesNewRomanPSMT"/>
        </w:rPr>
        <w:t>а основа</w:t>
      </w:r>
      <w:r w:rsidRPr="00F31BAF">
        <w:rPr>
          <w:rFonts w:ascii="SkolaSans" w:hAnsi="SkolaSans" w:cs="TimesNewRomanPSMT"/>
        </w:rPr>
        <w:t xml:space="preserve"> за пресметување на пазарните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удели, сепак постојат и други индикатори кои зависно од конкретните стоки или </w:t>
      </w:r>
      <w:r w:rsidR="00782284" w:rsidRPr="00F31BAF">
        <w:rPr>
          <w:rFonts w:ascii="SkolaSans" w:hAnsi="SkolaSans" w:cs="TimesNewRomanPSMT"/>
        </w:rPr>
        <w:t>индустриски гранки</w:t>
      </w:r>
      <w:r w:rsidRPr="00F31BAF">
        <w:rPr>
          <w:rFonts w:ascii="SkolaSans" w:hAnsi="SkolaSans" w:cs="TimesNewRomanPSMT"/>
        </w:rPr>
        <w:t>,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мож</w:t>
      </w:r>
      <w:r w:rsidR="00782284" w:rsidRPr="00F31BAF">
        <w:rPr>
          <w:rFonts w:ascii="SkolaSans" w:hAnsi="SkolaSans" w:cs="TimesNewRomanPSMT"/>
        </w:rPr>
        <w:t>ат</w:t>
      </w:r>
      <w:r w:rsidRPr="00F31BAF">
        <w:rPr>
          <w:rFonts w:ascii="SkolaSans" w:hAnsi="SkolaSans" w:cs="TimesNewRomanPSMT"/>
        </w:rPr>
        <w:t xml:space="preserve"> да дадат корисни информации, како што се</w:t>
      </w:r>
      <w:r w:rsidR="00995C0A" w:rsidRPr="00F31BAF">
        <w:rPr>
          <w:rFonts w:ascii="SkolaSans" w:hAnsi="SkolaSans" w:cs="TimesNewRomanPSMT"/>
        </w:rPr>
        <w:t xml:space="preserve"> особено</w:t>
      </w:r>
      <w:r w:rsidRPr="00F31BAF">
        <w:rPr>
          <w:rFonts w:ascii="SkolaSans" w:hAnsi="SkolaSans" w:cs="TimesNewRomanPSMT"/>
        </w:rPr>
        <w:t>: капацитетот, бројот на учесници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пазарите </w:t>
      </w:r>
      <w:r w:rsidR="00995C0A" w:rsidRPr="00F31BAF">
        <w:rPr>
          <w:rFonts w:ascii="SkolaSans" w:hAnsi="SkolaSans" w:cs="TimesNewRomanPSMT"/>
        </w:rPr>
        <w:t xml:space="preserve">на кои </w:t>
      </w:r>
      <w:r w:rsidRPr="00F31BAF">
        <w:rPr>
          <w:rFonts w:ascii="SkolaSans" w:hAnsi="SkolaSans" w:cs="TimesNewRomanPSMT"/>
        </w:rPr>
        <w:t>набавките се вршат преку тендери или постојните резерви во секторот рударство.</w:t>
      </w:r>
    </w:p>
    <w:p w:rsidR="003802A0" w:rsidRDefault="00F83E03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Како општо правило, и волуменот на продажбите и вредноста на продажбите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даваат корисни информации. Во случаите на различни стоки, вредноста на продажбите и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нивните соодветни пазарни удели вообичаено ќе бидат земени во предвид за подобро</w:t>
      </w:r>
      <w:r w:rsidR="00995C0A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изразување на позиција</w:t>
      </w:r>
      <w:r w:rsidR="005B76A2" w:rsidRPr="00F31BAF">
        <w:rPr>
          <w:rFonts w:ascii="SkolaSans" w:hAnsi="SkolaSans" w:cs="TimesNewRomanPSMT"/>
        </w:rPr>
        <w:t>та</w:t>
      </w:r>
      <w:r w:rsidRPr="00F31BAF">
        <w:rPr>
          <w:rFonts w:ascii="SkolaSans" w:hAnsi="SkolaSans" w:cs="TimesNewRomanPSMT"/>
        </w:rPr>
        <w:t xml:space="preserve"> и </w:t>
      </w:r>
      <w:r w:rsidR="00995C0A" w:rsidRPr="00F31BAF">
        <w:rPr>
          <w:rFonts w:ascii="SkolaSans" w:hAnsi="SkolaSans" w:cs="TimesNewRomanPSMT"/>
        </w:rPr>
        <w:t>сила</w:t>
      </w:r>
      <w:r w:rsidR="005B76A2" w:rsidRPr="00F31BAF">
        <w:rPr>
          <w:rFonts w:ascii="SkolaSans" w:hAnsi="SkolaSans" w:cs="TimesNewRomanPSMT"/>
        </w:rPr>
        <w:t>та</w:t>
      </w:r>
      <w:r w:rsidR="00995C0A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секој снабдувач.</w:t>
      </w:r>
    </w:p>
    <w:p w:rsidR="00383E42" w:rsidRDefault="00383E42" w:rsidP="00F528B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SkolaSans" w:hAnsi="SkolaSans" w:cs="TimesNewRomanPSMT"/>
        </w:rPr>
      </w:pPr>
    </w:p>
    <w:p w:rsidR="003802A0" w:rsidRDefault="00F83E03">
      <w:pPr>
        <w:pStyle w:val="Heading1"/>
        <w:spacing w:before="120" w:after="240"/>
        <w:rPr>
          <w:rFonts w:ascii="SkolaSans" w:hAnsi="SkolaSans"/>
        </w:rPr>
      </w:pPr>
      <w:bookmarkStart w:id="24" w:name="_Toc292717613"/>
      <w:r w:rsidRPr="00F31BAF">
        <w:rPr>
          <w:rFonts w:ascii="SkolaSans" w:hAnsi="SkolaSans"/>
          <w:color w:val="auto"/>
          <w:sz w:val="22"/>
          <w:szCs w:val="22"/>
        </w:rPr>
        <w:t>V. ДОПОЛНИТЕЛНИ ЗАБЕЛЕШКИ</w:t>
      </w:r>
      <w:bookmarkEnd w:id="24"/>
    </w:p>
    <w:p w:rsidR="003802A0" w:rsidRDefault="00F83E03">
      <w:pPr>
        <w:autoSpaceDE w:val="0"/>
        <w:autoSpaceDN w:val="0"/>
        <w:adjustRightInd w:val="0"/>
        <w:spacing w:before="120" w:after="24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>Постојат одредени области во кои горенаведените принципи мора грижливо да се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применат. Ова е случај кога се земаат во предвид примарните и секундарните пазари,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особено, кога однесувањето на претпријатијата во точно одредено време треба да се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анализира согласно членот 1</w:t>
      </w:r>
      <w:r w:rsidR="00901BCC" w:rsidRPr="00F31BAF">
        <w:rPr>
          <w:rFonts w:ascii="SkolaSans" w:hAnsi="SkolaSans" w:cs="TimesNewRomanPSMT"/>
        </w:rPr>
        <w:t>0</w:t>
      </w:r>
      <w:r w:rsidRPr="00F31BAF">
        <w:rPr>
          <w:rFonts w:ascii="SkolaSans" w:hAnsi="SkolaSans" w:cs="TimesNewRomanPSMT"/>
        </w:rPr>
        <w:t xml:space="preserve"> и 1</w:t>
      </w:r>
      <w:r w:rsidR="00901BCC" w:rsidRPr="00F31BAF">
        <w:rPr>
          <w:rFonts w:ascii="SkolaSans" w:hAnsi="SkolaSans" w:cs="TimesNewRomanPSMT"/>
        </w:rPr>
        <w:t>1</w:t>
      </w:r>
      <w:r w:rsidRPr="00F31BAF">
        <w:rPr>
          <w:rFonts w:ascii="SkolaSans" w:hAnsi="SkolaSans" w:cs="TimesNewRomanPSMT"/>
        </w:rPr>
        <w:t xml:space="preserve"> од ЗЗК. Методот за дефинирање на пазарите во овие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случаи е ист односно треба да се оцени реакцијата на купувачите заснована врз нивните</w:t>
      </w:r>
      <w:r w:rsidR="001F1EF8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одлуки за купување во однос на промените во цените, но притоа треба да се </w:t>
      </w:r>
      <w:r w:rsidR="005A5409" w:rsidRPr="00F31BAF">
        <w:rPr>
          <w:rFonts w:ascii="SkolaSans" w:hAnsi="SkolaSans" w:cs="TimesNewRomanPSMT"/>
        </w:rPr>
        <w:t>з</w:t>
      </w:r>
      <w:r w:rsidRPr="00F31BAF">
        <w:rPr>
          <w:rFonts w:ascii="SkolaSans" w:hAnsi="SkolaSans" w:cs="TimesNewRomanPSMT"/>
        </w:rPr>
        <w:t>емат во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предвид и ограничувањата на можноста за замена кои произлегуваат од условите на</w:t>
      </w:r>
      <w:r w:rsidR="005A5409" w:rsidRPr="00F31BAF">
        <w:rPr>
          <w:rFonts w:ascii="SkolaSans" w:hAnsi="SkolaSans" w:cs="TimesNewRomanPSMT"/>
        </w:rPr>
        <w:t xml:space="preserve"> </w:t>
      </w:r>
      <w:r w:rsidR="00A05842" w:rsidRPr="00F31BAF">
        <w:rPr>
          <w:rFonts w:ascii="SkolaSans" w:hAnsi="SkolaSans" w:cs="TimesNewRomanPSMT"/>
        </w:rPr>
        <w:t>поврзаните пазари</w:t>
      </w:r>
      <w:r w:rsidRPr="00F31BAF">
        <w:rPr>
          <w:rFonts w:ascii="SkolaSans" w:hAnsi="SkolaSans" w:cs="TimesNewRomanPSMT"/>
        </w:rPr>
        <w:t>. Потесно дефинирање на пазарот на секундарни стоки, на пример,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 на резервни делови може да настане кога </w:t>
      </w:r>
      <w:r w:rsidR="009E24C5" w:rsidRPr="00F31BAF">
        <w:rPr>
          <w:rFonts w:ascii="SkolaSans" w:hAnsi="SkolaSans" w:cs="TimesNewRomanPSMT"/>
        </w:rPr>
        <w:t xml:space="preserve">е важна </w:t>
      </w:r>
      <w:r w:rsidRPr="00F31BAF">
        <w:rPr>
          <w:rFonts w:ascii="SkolaSans" w:hAnsi="SkolaSans" w:cs="TimesNewRomanPSMT"/>
        </w:rPr>
        <w:t xml:space="preserve">компатибилноста со примарните стоки. Проблемот со </w:t>
      </w:r>
      <w:r w:rsidR="009E24C5" w:rsidRPr="00F31BAF">
        <w:rPr>
          <w:rFonts w:ascii="SkolaSans" w:hAnsi="SkolaSans" w:cs="TimesNewRomanPSMT"/>
        </w:rPr>
        <w:t xml:space="preserve">пронаоѓање </w:t>
      </w:r>
      <w:r w:rsidRPr="00F31BAF">
        <w:rPr>
          <w:rFonts w:ascii="SkolaSans" w:hAnsi="SkolaSans" w:cs="TimesNewRomanPSMT"/>
        </w:rPr>
        <w:t xml:space="preserve">компатибилни секундарни стоки </w:t>
      </w:r>
      <w:r w:rsidR="009E24C5" w:rsidRPr="00F31BAF">
        <w:rPr>
          <w:rFonts w:ascii="SkolaSans" w:hAnsi="SkolaSans" w:cs="TimesNewRomanPSMT"/>
        </w:rPr>
        <w:t xml:space="preserve">придружен </w:t>
      </w:r>
      <w:r w:rsidRPr="00F31BAF">
        <w:rPr>
          <w:rFonts w:ascii="SkolaSans" w:hAnsi="SkolaSans" w:cs="TimesNewRomanPSMT"/>
        </w:rPr>
        <w:t>со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постоењето на високи цени и долг животен век на примарните стоки може да доведе до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тоа зголемувањето на цените на секундарните стоки да стане профитабилно. Исто така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пазарот може да биде дефиниран поинаку доколку е можна значајна </w:t>
      </w:r>
      <w:r w:rsidR="009E24C5" w:rsidRPr="00F31BAF">
        <w:rPr>
          <w:rFonts w:ascii="SkolaSans" w:hAnsi="SkolaSans" w:cs="TimesNewRomanPSMT"/>
        </w:rPr>
        <w:t xml:space="preserve">заменливост </w:t>
      </w:r>
      <w:r w:rsidRPr="00F31BAF">
        <w:rPr>
          <w:rFonts w:ascii="SkolaSans" w:hAnsi="SkolaSans" w:cs="TimesNewRomanPSMT"/>
        </w:rPr>
        <w:t>помеѓу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секундарните стоки или доколку карактеристиките на примарните стоки дозволуваат брзи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и директни реакции на потрошувачите при зголемување на цените на секундарните стоки.</w:t>
      </w:r>
    </w:p>
    <w:p w:rsidR="00F83E03" w:rsidRPr="00F31BAF" w:rsidRDefault="00F83E03" w:rsidP="00F528B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</w:rPr>
      </w:pPr>
      <w:r w:rsidRPr="00F31BAF">
        <w:rPr>
          <w:rFonts w:ascii="SkolaSans" w:hAnsi="SkolaSans" w:cs="TimesNewRomanPSMT"/>
        </w:rPr>
        <w:t xml:space="preserve">Во одредени случаи, постоењето на низа </w:t>
      </w:r>
      <w:r w:rsidR="009E24C5" w:rsidRPr="00F31BAF">
        <w:rPr>
          <w:rFonts w:ascii="SkolaSans" w:hAnsi="SkolaSans" w:cs="TimesNewRomanPSMT"/>
        </w:rPr>
        <w:t>на замени (</w:t>
      </w:r>
      <w:r w:rsidRPr="00F31BAF">
        <w:rPr>
          <w:rFonts w:ascii="SkolaSans" w:hAnsi="SkolaSans" w:cs="TimesNewRomanPSMT"/>
        </w:rPr>
        <w:t>супститути</w:t>
      </w:r>
      <w:r w:rsidR="009E24C5" w:rsidRPr="00F31BAF">
        <w:rPr>
          <w:rFonts w:ascii="SkolaSans" w:hAnsi="SkolaSans" w:cs="TimesNewRomanPSMT"/>
        </w:rPr>
        <w:t>)</w:t>
      </w:r>
      <w:r w:rsidRPr="00F31BAF">
        <w:rPr>
          <w:rFonts w:ascii="SkolaSans" w:hAnsi="SkolaSans" w:cs="TimesNewRomanPSMT"/>
        </w:rPr>
        <w:t xml:space="preserve"> може да доведе до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дефинирање на релевантен пазар каде стоките или териториите на </w:t>
      </w:r>
      <w:r w:rsidRPr="00F31BAF">
        <w:rPr>
          <w:rFonts w:ascii="SkolaSans" w:hAnsi="SkolaSans" w:cs="TimesNewRomanPSMT"/>
        </w:rPr>
        <w:lastRenderedPageBreak/>
        <w:t>почетокот и на крајот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низата на супститути меѓусебно не се директно заменливи. Пример може да биде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дефиниција на географски пазар на стока со значителни транспортни трошоци. Во </w:t>
      </w:r>
      <w:r w:rsidR="002514E6" w:rsidRPr="00F31BAF">
        <w:rPr>
          <w:rFonts w:ascii="SkolaSans" w:hAnsi="SkolaSans" w:cs="TimesNewRomanPSMT"/>
        </w:rPr>
        <w:t>в</w:t>
      </w:r>
      <w:r w:rsidRPr="00F31BAF">
        <w:rPr>
          <w:rFonts w:ascii="SkolaSans" w:hAnsi="SkolaSans" w:cs="TimesNewRomanPSMT"/>
        </w:rPr>
        <w:t>акви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случаи, испораките од одредена фабрика се ограничени на одредена територија околу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секоја фабрика </w:t>
      </w:r>
      <w:r w:rsidR="005E4331" w:rsidRPr="00F31BAF">
        <w:rPr>
          <w:rFonts w:ascii="SkolaSans" w:hAnsi="SkolaSans" w:cs="TimesNewRomanPSMT"/>
        </w:rPr>
        <w:t xml:space="preserve">поради </w:t>
      </w:r>
      <w:r w:rsidRPr="00F31BAF">
        <w:rPr>
          <w:rFonts w:ascii="SkolaSans" w:hAnsi="SkolaSans" w:cs="TimesNewRomanPSMT"/>
        </w:rPr>
        <w:t>транспортните трошоци. Во принцип, таквата територија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може да </w:t>
      </w:r>
      <w:r w:rsidR="009E24C5" w:rsidRPr="00F31BAF">
        <w:rPr>
          <w:rFonts w:ascii="SkolaSans" w:hAnsi="SkolaSans" w:cs="TimesNewRomanPSMT"/>
        </w:rPr>
        <w:t xml:space="preserve">претставува </w:t>
      </w:r>
      <w:r w:rsidRPr="00F31BAF">
        <w:rPr>
          <w:rFonts w:ascii="SkolaSans" w:hAnsi="SkolaSans" w:cs="TimesNewRomanPSMT"/>
        </w:rPr>
        <w:t xml:space="preserve">релевантен географски пазар. Како и да е, доколку </w:t>
      </w:r>
      <w:r w:rsidR="009E24C5" w:rsidRPr="00F31BAF">
        <w:rPr>
          <w:rFonts w:ascii="SkolaSans" w:hAnsi="SkolaSans" w:cs="TimesNewRomanPSMT"/>
        </w:rPr>
        <w:t xml:space="preserve">местоположбата </w:t>
      </w:r>
      <w:r w:rsidRPr="00F31BAF">
        <w:rPr>
          <w:rFonts w:ascii="SkolaSans" w:hAnsi="SkolaSans" w:cs="TimesNewRomanPSMT"/>
        </w:rPr>
        <w:t>на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фабриките е таква да постојат значајни преклопувања помеѓу териториите околу различни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фабрики, можно е цените на таквите стоки да бид</w:t>
      </w:r>
      <w:r w:rsidR="009E24C5" w:rsidRPr="00F31BAF">
        <w:rPr>
          <w:rFonts w:ascii="SkolaSans" w:hAnsi="SkolaSans" w:cs="TimesNewRomanPSMT"/>
        </w:rPr>
        <w:t xml:space="preserve">ат </w:t>
      </w:r>
      <w:r w:rsidRPr="00F31BAF">
        <w:rPr>
          <w:rFonts w:ascii="SkolaSans" w:hAnsi="SkolaSans" w:cs="TimesNewRomanPSMT"/>
        </w:rPr>
        <w:t>ограничен</w:t>
      </w:r>
      <w:r w:rsidR="009E24C5" w:rsidRPr="00F31BAF">
        <w:rPr>
          <w:rFonts w:ascii="SkolaSans" w:hAnsi="SkolaSans" w:cs="TimesNewRomanPSMT"/>
        </w:rPr>
        <w:t>и</w:t>
      </w:r>
      <w:r w:rsidRPr="00F31BAF">
        <w:rPr>
          <w:rFonts w:ascii="SkolaSans" w:hAnsi="SkolaSans" w:cs="TimesNewRomanPSMT"/>
        </w:rPr>
        <w:t xml:space="preserve"> од низа ефекти</w:t>
      </w:r>
      <w:r w:rsidR="009E24C5" w:rsidRPr="00F31BAF">
        <w:rPr>
          <w:rFonts w:ascii="SkolaSans" w:hAnsi="SkolaSans" w:cs="TimesNewRomanPSMT"/>
        </w:rPr>
        <w:t xml:space="preserve"> на заменливост (супституција)</w:t>
      </w:r>
      <w:r w:rsidR="005E4331" w:rsidRPr="00F31BAF">
        <w:rPr>
          <w:rFonts w:ascii="SkolaSans" w:hAnsi="SkolaSans" w:cs="TimesNewRomanPSMT"/>
        </w:rPr>
        <w:t xml:space="preserve"> што ќе </w:t>
      </w:r>
      <w:r w:rsidR="009E24C5" w:rsidRPr="00F31BAF">
        <w:rPr>
          <w:rFonts w:ascii="SkolaSans" w:hAnsi="SkolaSans" w:cs="TimesNewRomanPSMT"/>
        </w:rPr>
        <w:t xml:space="preserve">доведе до </w:t>
      </w:r>
      <w:r w:rsidRPr="00F31BAF">
        <w:rPr>
          <w:rFonts w:ascii="SkolaSans" w:hAnsi="SkolaSans" w:cs="TimesNewRomanPSMT"/>
        </w:rPr>
        <w:t>дефинирање на поширок географски пазар. Истото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размислување може да се примени доколку производот Б е супститут </w:t>
      </w:r>
      <w:r w:rsidR="009E24C5" w:rsidRPr="00F31BAF">
        <w:rPr>
          <w:rFonts w:ascii="SkolaSans" w:hAnsi="SkolaSans" w:cs="TimesNewRomanPSMT"/>
        </w:rPr>
        <w:t xml:space="preserve">на </w:t>
      </w:r>
      <w:r w:rsidRPr="00F31BAF">
        <w:rPr>
          <w:rFonts w:ascii="SkolaSans" w:hAnsi="SkolaSans" w:cs="TimesNewRomanPSMT"/>
        </w:rPr>
        <w:t>производите А и Ц</w:t>
      </w:r>
      <w:r w:rsidR="009E24C5" w:rsidRPr="00F31BAF">
        <w:rPr>
          <w:rFonts w:ascii="SkolaSans" w:hAnsi="SkolaSans" w:cs="TimesNewRomanPSMT"/>
        </w:rPr>
        <w:t xml:space="preserve"> на страната на побарувачката</w:t>
      </w:r>
      <w:r w:rsidRPr="00F31BAF">
        <w:rPr>
          <w:rFonts w:ascii="SkolaSans" w:hAnsi="SkolaSans" w:cs="TimesNewRomanPSMT"/>
        </w:rPr>
        <w:t>. Дури и кога производите А и Ц не се директни супститути</w:t>
      </w:r>
      <w:r w:rsidR="009E24C5" w:rsidRPr="00F31BAF">
        <w:rPr>
          <w:rFonts w:ascii="SkolaSans" w:hAnsi="SkolaSans" w:cs="TimesNewRomanPSMT"/>
        </w:rPr>
        <w:t xml:space="preserve"> на страната на побарувачката</w:t>
      </w:r>
      <w:r w:rsidRPr="00F31BAF">
        <w:rPr>
          <w:rFonts w:ascii="SkolaSans" w:hAnsi="SkolaSans" w:cs="TimesNewRomanPSMT"/>
        </w:rPr>
        <w:t>, може да се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смета дека </w:t>
      </w:r>
      <w:r w:rsidR="005E4331" w:rsidRPr="00F31BAF">
        <w:rPr>
          <w:rFonts w:ascii="SkolaSans" w:hAnsi="SkolaSans" w:cs="TimesNewRomanPSMT"/>
        </w:rPr>
        <w:t xml:space="preserve">тие </w:t>
      </w:r>
      <w:r w:rsidRPr="00F31BAF">
        <w:rPr>
          <w:rFonts w:ascii="SkolaSans" w:hAnsi="SkolaSans" w:cs="TimesNewRomanPSMT"/>
        </w:rPr>
        <w:t>се во рамките на ист релевантен пазар на стоки поради тоа што утврдувањето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на нивните цени може да биде ограничено од можноста за супституција со производот Б</w:t>
      </w:r>
      <w:r w:rsidR="005A5409" w:rsidRPr="00F31BAF">
        <w:rPr>
          <w:rFonts w:ascii="SkolaSans" w:hAnsi="SkolaSans" w:cs="TimesNewRomanPSMT"/>
        </w:rPr>
        <w:t>.</w:t>
      </w:r>
    </w:p>
    <w:p w:rsidR="003802A0" w:rsidRDefault="00F83E03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SkolaSans" w:hAnsi="SkolaSans" w:cs="TimesNewRomanPSMT"/>
          <w:lang w:val="en-US"/>
        </w:rPr>
      </w:pPr>
      <w:r w:rsidRPr="00F31BAF">
        <w:rPr>
          <w:rFonts w:ascii="SkolaSans" w:hAnsi="SkolaSans" w:cs="TimesNewRomanPSMT"/>
        </w:rPr>
        <w:t>Од практична гледна точка, концептот на низа на супститути треба да биде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>поткрепен со вистински докази, на пример поврзани со ценовната меѓу</w:t>
      </w:r>
      <w:r w:rsidR="009E24C5" w:rsidRPr="00F31BAF">
        <w:rPr>
          <w:rFonts w:ascii="SkolaSans" w:hAnsi="SkolaSans" w:cs="TimesNewRomanPSMT"/>
        </w:rPr>
        <w:t>-</w:t>
      </w:r>
      <w:r w:rsidRPr="00F31BAF">
        <w:rPr>
          <w:rFonts w:ascii="SkolaSans" w:hAnsi="SkolaSans" w:cs="TimesNewRomanPSMT"/>
        </w:rPr>
        <w:t xml:space="preserve">зависност </w:t>
      </w:r>
      <w:r w:rsidR="00650605" w:rsidRPr="00F31BAF">
        <w:rPr>
          <w:rFonts w:ascii="SkolaSans" w:hAnsi="SkolaSans" w:cs="TimesNewRomanPSMT"/>
        </w:rPr>
        <w:t xml:space="preserve">на </w:t>
      </w:r>
      <w:r w:rsidRPr="00F31BAF">
        <w:rPr>
          <w:rFonts w:ascii="SkolaSans" w:hAnsi="SkolaSans" w:cs="TimesNewRomanPSMT"/>
        </w:rPr>
        <w:t xml:space="preserve">крајните граници на низата на супститути, </w:t>
      </w:r>
      <w:r w:rsidR="00650605" w:rsidRPr="00F31BAF">
        <w:rPr>
          <w:rFonts w:ascii="SkolaSans" w:hAnsi="SkolaSans" w:cs="TimesNewRomanPSMT"/>
        </w:rPr>
        <w:t xml:space="preserve">за </w:t>
      </w:r>
      <w:r w:rsidRPr="00F31BAF">
        <w:rPr>
          <w:rFonts w:ascii="SkolaSans" w:hAnsi="SkolaSans" w:cs="TimesNewRomanPSMT"/>
        </w:rPr>
        <w:t>да води кон проширување на</w:t>
      </w:r>
      <w:r w:rsidR="005A5409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релевантниот пазар во </w:t>
      </w:r>
      <w:r w:rsidR="005E4331" w:rsidRPr="00F31BAF">
        <w:rPr>
          <w:rFonts w:ascii="SkolaSans" w:hAnsi="SkolaSans" w:cs="TimesNewRomanPSMT"/>
        </w:rPr>
        <w:t xml:space="preserve">еден </w:t>
      </w:r>
      <w:r w:rsidR="00650605" w:rsidRPr="00F31BAF">
        <w:rPr>
          <w:rFonts w:ascii="SkolaSans" w:hAnsi="SkolaSans" w:cs="TimesNewRomanPSMT"/>
        </w:rPr>
        <w:t xml:space="preserve">конкретен </w:t>
      </w:r>
      <w:r w:rsidRPr="00F31BAF">
        <w:rPr>
          <w:rFonts w:ascii="SkolaSans" w:hAnsi="SkolaSans" w:cs="TimesNewRomanPSMT"/>
        </w:rPr>
        <w:t xml:space="preserve">случај. </w:t>
      </w:r>
      <w:r w:rsidR="005E4331" w:rsidRPr="00F31BAF">
        <w:rPr>
          <w:rFonts w:ascii="SkolaSans" w:hAnsi="SkolaSans" w:cs="TimesNewRomanPSMT"/>
        </w:rPr>
        <w:t xml:space="preserve">Исто така цените </w:t>
      </w:r>
      <w:r w:rsidR="00650605" w:rsidRPr="00F31BAF">
        <w:rPr>
          <w:rFonts w:ascii="SkolaSans" w:hAnsi="SkolaSans" w:cs="TimesNewRomanPSMT"/>
        </w:rPr>
        <w:t xml:space="preserve">на </w:t>
      </w:r>
      <w:r w:rsidRPr="00F31BAF">
        <w:rPr>
          <w:rFonts w:ascii="SkolaSans" w:hAnsi="SkolaSans" w:cs="TimesNewRomanPSMT"/>
        </w:rPr>
        <w:t>кра</w:t>
      </w:r>
      <w:r w:rsidR="005E4331" w:rsidRPr="00F31BAF">
        <w:rPr>
          <w:rFonts w:ascii="SkolaSans" w:hAnsi="SkolaSans" w:cs="TimesNewRomanPSMT"/>
        </w:rPr>
        <w:t xml:space="preserve">евите на </w:t>
      </w:r>
      <w:r w:rsidRPr="00F31BAF">
        <w:rPr>
          <w:rFonts w:ascii="SkolaSans" w:hAnsi="SkolaSans" w:cs="TimesNewRomanPSMT"/>
        </w:rPr>
        <w:t>низите</w:t>
      </w:r>
      <w:r w:rsidR="00650605" w:rsidRPr="00F31BAF">
        <w:rPr>
          <w:rFonts w:ascii="SkolaSans" w:hAnsi="SkolaSans" w:cs="TimesNewRomanPSMT"/>
        </w:rPr>
        <w:t xml:space="preserve"> </w:t>
      </w:r>
      <w:r w:rsidRPr="00F31BAF">
        <w:rPr>
          <w:rFonts w:ascii="SkolaSans" w:hAnsi="SkolaSans" w:cs="TimesNewRomanPSMT"/>
        </w:rPr>
        <w:t xml:space="preserve">ќе треба да бидат </w:t>
      </w:r>
      <w:r w:rsidR="005E4331" w:rsidRPr="00F31BAF">
        <w:rPr>
          <w:rFonts w:ascii="SkolaSans" w:hAnsi="SkolaSans" w:cs="TimesNewRomanPSMT"/>
        </w:rPr>
        <w:t xml:space="preserve">со </w:t>
      </w:r>
      <w:r w:rsidRPr="00F31BAF">
        <w:rPr>
          <w:rFonts w:ascii="SkolaSans" w:hAnsi="SkolaSans" w:cs="TimesNewRomanPSMT"/>
        </w:rPr>
        <w:t xml:space="preserve">иста </w:t>
      </w:r>
      <w:r w:rsidR="005E4331" w:rsidRPr="00F31BAF">
        <w:rPr>
          <w:rFonts w:ascii="SkolaSans" w:hAnsi="SkolaSans" w:cs="TimesNewRomanPSMT"/>
        </w:rPr>
        <w:t>висина</w:t>
      </w:r>
      <w:r w:rsidRPr="00F31BAF">
        <w:rPr>
          <w:rFonts w:ascii="SkolaSans" w:hAnsi="SkolaSans" w:cs="TimesNewRomanPSMT"/>
        </w:rPr>
        <w:t>.</w:t>
      </w:r>
    </w:p>
    <w:p w:rsidR="0046658E" w:rsidRDefault="0046658E">
      <w:pPr>
        <w:spacing w:after="120" w:line="240" w:lineRule="auto"/>
        <w:jc w:val="both"/>
        <w:rPr>
          <w:rFonts w:ascii="SkolaSans" w:hAnsi="SkolaSans"/>
          <w:lang w:val="en-US"/>
        </w:rPr>
      </w:pPr>
    </w:p>
    <w:sectPr w:rsidR="0046658E" w:rsidSect="00EA22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70" w:rsidRDefault="00A36970" w:rsidP="00F83E03">
      <w:pPr>
        <w:spacing w:after="0" w:line="240" w:lineRule="auto"/>
      </w:pPr>
      <w:r>
        <w:separator/>
      </w:r>
    </w:p>
  </w:endnote>
  <w:endnote w:type="continuationSeparator" w:id="1">
    <w:p w:rsidR="00A36970" w:rsidRDefault="00A36970" w:rsidP="00F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olaSans">
    <w:panose1 w:val="02000000000000000000"/>
    <w:charset w:val="00"/>
    <w:family w:val="modern"/>
    <w:notTrueType/>
    <w:pitch w:val="variable"/>
    <w:sig w:usb0="A000022F" w:usb1="5000205B" w:usb2="00000000" w:usb3="00000000" w:csb0="00000087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4313"/>
      <w:docPartObj>
        <w:docPartGallery w:val="Page Numbers (Bottom of Page)"/>
        <w:docPartUnique/>
      </w:docPartObj>
    </w:sdtPr>
    <w:sdtContent>
      <w:p w:rsidR="007179DD" w:rsidRDefault="00344FD3">
        <w:pPr>
          <w:pStyle w:val="Footer"/>
          <w:jc w:val="right"/>
        </w:pPr>
        <w:fldSimple w:instr=" PAGE   \* MERGEFORMAT ">
          <w:r w:rsidR="00981F8D">
            <w:rPr>
              <w:noProof/>
            </w:rPr>
            <w:t>15</w:t>
          </w:r>
        </w:fldSimple>
      </w:p>
    </w:sdtContent>
  </w:sdt>
  <w:p w:rsidR="007179DD" w:rsidRDefault="00717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70" w:rsidRDefault="00A36970" w:rsidP="00F83E03">
      <w:pPr>
        <w:spacing w:after="0" w:line="240" w:lineRule="auto"/>
      </w:pPr>
      <w:r>
        <w:separator/>
      </w:r>
    </w:p>
  </w:footnote>
  <w:footnote w:type="continuationSeparator" w:id="1">
    <w:p w:rsidR="00A36970" w:rsidRDefault="00A36970" w:rsidP="00F83E03">
      <w:pPr>
        <w:spacing w:after="0" w:line="240" w:lineRule="auto"/>
      </w:pPr>
      <w:r>
        <w:continuationSeparator/>
      </w:r>
    </w:p>
  </w:footnote>
  <w:footnote w:id="2">
    <w:p w:rsidR="003802A0" w:rsidRDefault="007179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Овие Насоки се усогласени со Насоките на </w:t>
      </w:r>
      <w:r w:rsidR="006A0CE2">
        <w:t>Европската К</w:t>
      </w:r>
      <w:r>
        <w:t xml:space="preserve">омисија за дефинирање на релевантниот пазар за потребите на правото на конкуренција на Заедницата, Службен весник </w:t>
      </w:r>
      <w:r>
        <w:rPr>
          <w:lang w:val="en-US"/>
        </w:rPr>
        <w:t xml:space="preserve">C 372, 9.12.1997, </w:t>
      </w:r>
      <w:r>
        <w:t>стр</w:t>
      </w:r>
      <w:r>
        <w:rPr>
          <w:lang w:val="en-US"/>
        </w:rPr>
        <w:t>. 5-13, (CELEX</w:t>
      </w:r>
      <w:r>
        <w:t xml:space="preserve"> бр. 31997</w:t>
      </w:r>
      <w:r>
        <w:rPr>
          <w:lang w:val="en-US"/>
        </w:rPr>
        <w:t>Y1209 (01))</w:t>
      </w:r>
      <w:r w:rsidR="00F31BAF">
        <w:t>.</w:t>
      </w:r>
    </w:p>
  </w:footnote>
  <w:footnote w:id="3">
    <w:p w:rsidR="003802A0" w:rsidRDefault="007179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За целта на овие Насоки, под засегнати претпријатија се подразбираат: во случај на концентрација – </w:t>
      </w:r>
      <w:r w:rsidR="006A0CE2">
        <w:t>учесниците во</w:t>
      </w:r>
      <w:r>
        <w:t xml:space="preserve"> концентрацијата, во случај на </w:t>
      </w:r>
      <w:r w:rsidR="006A0CE2">
        <w:t>водење пост</w:t>
      </w:r>
      <w:r w:rsidR="00AC2D94">
        <w:t>а</w:t>
      </w:r>
      <w:r w:rsidR="006A0CE2">
        <w:t>пка за утврдување на постоење на прекршок од член 7 или 11 од ЗЗК – учесниците во прекршочната постапка</w:t>
      </w:r>
      <w:r w:rsidR="00AC2D94">
        <w:t>.</w:t>
      </w:r>
    </w:p>
  </w:footnote>
  <w:footnote w:id="4">
    <w:p w:rsidR="003802A0" w:rsidRDefault="007179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Под кус период се подразбира период кој не бара значителни приспособувања на материјалните и нематеријалните средства (види последен пасус од дел </w:t>
      </w:r>
      <w:r>
        <w:rPr>
          <w:lang w:val="en-US"/>
        </w:rPr>
        <w:t>II</w:t>
      </w:r>
      <w:r>
        <w:t xml:space="preserve"> точка 2.3.).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998"/>
    <w:multiLevelType w:val="hybridMultilevel"/>
    <w:tmpl w:val="84ECDE0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A3E"/>
    <w:multiLevelType w:val="hybridMultilevel"/>
    <w:tmpl w:val="C21C47D8"/>
    <w:lvl w:ilvl="0" w:tplc="0F801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5831"/>
    <w:multiLevelType w:val="multilevel"/>
    <w:tmpl w:val="2FAE9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E03"/>
    <w:rsid w:val="00021CFE"/>
    <w:rsid w:val="000436E4"/>
    <w:rsid w:val="00052372"/>
    <w:rsid w:val="00057F4A"/>
    <w:rsid w:val="000614CF"/>
    <w:rsid w:val="00062775"/>
    <w:rsid w:val="000635DC"/>
    <w:rsid w:val="00083037"/>
    <w:rsid w:val="000874B8"/>
    <w:rsid w:val="000C451E"/>
    <w:rsid w:val="000C50A3"/>
    <w:rsid w:val="000C53D8"/>
    <w:rsid w:val="000F4744"/>
    <w:rsid w:val="00113BAF"/>
    <w:rsid w:val="001166AF"/>
    <w:rsid w:val="00117384"/>
    <w:rsid w:val="00147789"/>
    <w:rsid w:val="00152F80"/>
    <w:rsid w:val="001838CA"/>
    <w:rsid w:val="00190871"/>
    <w:rsid w:val="00192666"/>
    <w:rsid w:val="001A3C76"/>
    <w:rsid w:val="001C06C0"/>
    <w:rsid w:val="001C07D4"/>
    <w:rsid w:val="001F1EF8"/>
    <w:rsid w:val="00226740"/>
    <w:rsid w:val="00242E5F"/>
    <w:rsid w:val="00244786"/>
    <w:rsid w:val="002514E6"/>
    <w:rsid w:val="00267CD0"/>
    <w:rsid w:val="002765C9"/>
    <w:rsid w:val="00277B6D"/>
    <w:rsid w:val="002832B0"/>
    <w:rsid w:val="0029671F"/>
    <w:rsid w:val="002A1C76"/>
    <w:rsid w:val="002A2A71"/>
    <w:rsid w:val="002D5BA9"/>
    <w:rsid w:val="002F7E25"/>
    <w:rsid w:val="00304A79"/>
    <w:rsid w:val="00344FD3"/>
    <w:rsid w:val="00345E05"/>
    <w:rsid w:val="00355D48"/>
    <w:rsid w:val="00356655"/>
    <w:rsid w:val="00363D13"/>
    <w:rsid w:val="003802A0"/>
    <w:rsid w:val="0038307D"/>
    <w:rsid w:val="00383E42"/>
    <w:rsid w:val="00393E2D"/>
    <w:rsid w:val="003B037A"/>
    <w:rsid w:val="003B22AA"/>
    <w:rsid w:val="003B4B4D"/>
    <w:rsid w:val="003E4F5F"/>
    <w:rsid w:val="00415091"/>
    <w:rsid w:val="004252A0"/>
    <w:rsid w:val="004642FA"/>
    <w:rsid w:val="0046658E"/>
    <w:rsid w:val="004F40A4"/>
    <w:rsid w:val="005149DF"/>
    <w:rsid w:val="0051738C"/>
    <w:rsid w:val="00533F8C"/>
    <w:rsid w:val="0053642C"/>
    <w:rsid w:val="005A5409"/>
    <w:rsid w:val="005B60CF"/>
    <w:rsid w:val="005B76A2"/>
    <w:rsid w:val="005C1DA5"/>
    <w:rsid w:val="005D4694"/>
    <w:rsid w:val="005D70AA"/>
    <w:rsid w:val="005E4331"/>
    <w:rsid w:val="005F58D7"/>
    <w:rsid w:val="00601739"/>
    <w:rsid w:val="006062B9"/>
    <w:rsid w:val="00650605"/>
    <w:rsid w:val="00657031"/>
    <w:rsid w:val="006639B9"/>
    <w:rsid w:val="0067018C"/>
    <w:rsid w:val="0067079A"/>
    <w:rsid w:val="00673FED"/>
    <w:rsid w:val="006A0CE2"/>
    <w:rsid w:val="006B1FB6"/>
    <w:rsid w:val="006B3B41"/>
    <w:rsid w:val="006C27EF"/>
    <w:rsid w:val="006C4FB7"/>
    <w:rsid w:val="00717279"/>
    <w:rsid w:val="007179DD"/>
    <w:rsid w:val="00721A45"/>
    <w:rsid w:val="00753D8F"/>
    <w:rsid w:val="00782284"/>
    <w:rsid w:val="0078726D"/>
    <w:rsid w:val="007A627B"/>
    <w:rsid w:val="007B27F9"/>
    <w:rsid w:val="007B37D7"/>
    <w:rsid w:val="007B50DD"/>
    <w:rsid w:val="007D148D"/>
    <w:rsid w:val="007E0EA8"/>
    <w:rsid w:val="007E4FA4"/>
    <w:rsid w:val="008237C5"/>
    <w:rsid w:val="00826717"/>
    <w:rsid w:val="00843CAF"/>
    <w:rsid w:val="00853862"/>
    <w:rsid w:val="00863DDD"/>
    <w:rsid w:val="00892479"/>
    <w:rsid w:val="008A2335"/>
    <w:rsid w:val="008B3874"/>
    <w:rsid w:val="008B7AC0"/>
    <w:rsid w:val="008C027A"/>
    <w:rsid w:val="00901BCC"/>
    <w:rsid w:val="0091722E"/>
    <w:rsid w:val="00926152"/>
    <w:rsid w:val="009306C3"/>
    <w:rsid w:val="00945EEA"/>
    <w:rsid w:val="00960FD7"/>
    <w:rsid w:val="009753F9"/>
    <w:rsid w:val="00981F8D"/>
    <w:rsid w:val="00982D83"/>
    <w:rsid w:val="00985304"/>
    <w:rsid w:val="00995C0A"/>
    <w:rsid w:val="009E24C5"/>
    <w:rsid w:val="009E7FA5"/>
    <w:rsid w:val="009F16B2"/>
    <w:rsid w:val="00A05842"/>
    <w:rsid w:val="00A07C51"/>
    <w:rsid w:val="00A07D24"/>
    <w:rsid w:val="00A12919"/>
    <w:rsid w:val="00A33A75"/>
    <w:rsid w:val="00A3420F"/>
    <w:rsid w:val="00A36970"/>
    <w:rsid w:val="00A4192A"/>
    <w:rsid w:val="00A54387"/>
    <w:rsid w:val="00A704A0"/>
    <w:rsid w:val="00AA72F8"/>
    <w:rsid w:val="00AB48C0"/>
    <w:rsid w:val="00AC2D94"/>
    <w:rsid w:val="00AE49EB"/>
    <w:rsid w:val="00AF1CC5"/>
    <w:rsid w:val="00AF54AE"/>
    <w:rsid w:val="00B01DD9"/>
    <w:rsid w:val="00B5309D"/>
    <w:rsid w:val="00B810FC"/>
    <w:rsid w:val="00B879B0"/>
    <w:rsid w:val="00BC7A9A"/>
    <w:rsid w:val="00BE5F69"/>
    <w:rsid w:val="00C10A9D"/>
    <w:rsid w:val="00C20B5D"/>
    <w:rsid w:val="00C26BA9"/>
    <w:rsid w:val="00C409B0"/>
    <w:rsid w:val="00C45810"/>
    <w:rsid w:val="00C755CE"/>
    <w:rsid w:val="00CE0B41"/>
    <w:rsid w:val="00CE3397"/>
    <w:rsid w:val="00CF665A"/>
    <w:rsid w:val="00D220B1"/>
    <w:rsid w:val="00D500E5"/>
    <w:rsid w:val="00D76E8B"/>
    <w:rsid w:val="00DE2669"/>
    <w:rsid w:val="00DF3B6D"/>
    <w:rsid w:val="00DF6E64"/>
    <w:rsid w:val="00E03F7F"/>
    <w:rsid w:val="00E14665"/>
    <w:rsid w:val="00E1542B"/>
    <w:rsid w:val="00E170DB"/>
    <w:rsid w:val="00E41DB1"/>
    <w:rsid w:val="00E43AD2"/>
    <w:rsid w:val="00E8610F"/>
    <w:rsid w:val="00E91017"/>
    <w:rsid w:val="00EA22F7"/>
    <w:rsid w:val="00EB2865"/>
    <w:rsid w:val="00EB4622"/>
    <w:rsid w:val="00EC2E01"/>
    <w:rsid w:val="00EC7E92"/>
    <w:rsid w:val="00F03C74"/>
    <w:rsid w:val="00F06A12"/>
    <w:rsid w:val="00F31BAF"/>
    <w:rsid w:val="00F3379E"/>
    <w:rsid w:val="00F528B0"/>
    <w:rsid w:val="00F54CCB"/>
    <w:rsid w:val="00F764E0"/>
    <w:rsid w:val="00F83E03"/>
    <w:rsid w:val="00FD6D7C"/>
    <w:rsid w:val="00FF0E55"/>
    <w:rsid w:val="00FF1397"/>
    <w:rsid w:val="00FF3676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F7"/>
  </w:style>
  <w:style w:type="paragraph" w:styleId="Heading1">
    <w:name w:val="heading 1"/>
    <w:basedOn w:val="Normal"/>
    <w:next w:val="Normal"/>
    <w:link w:val="Heading1Char"/>
    <w:uiPriority w:val="9"/>
    <w:qFormat/>
    <w:rsid w:val="00DE2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E03"/>
  </w:style>
  <w:style w:type="paragraph" w:styleId="Footer">
    <w:name w:val="footer"/>
    <w:basedOn w:val="Normal"/>
    <w:link w:val="FooterChar"/>
    <w:uiPriority w:val="99"/>
    <w:unhideWhenUsed/>
    <w:rsid w:val="00F83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03"/>
  </w:style>
  <w:style w:type="paragraph" w:styleId="ListParagraph">
    <w:name w:val="List Paragraph"/>
    <w:basedOn w:val="Normal"/>
    <w:uiPriority w:val="34"/>
    <w:qFormat/>
    <w:rsid w:val="00F8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4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3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ED"/>
    <w:rPr>
      <w:b/>
      <w:bCs/>
    </w:rPr>
  </w:style>
  <w:style w:type="character" w:customStyle="1" w:styleId="hps">
    <w:name w:val="hps"/>
    <w:basedOn w:val="DefaultParagraphFont"/>
    <w:rsid w:val="00B01DD9"/>
  </w:style>
  <w:style w:type="character" w:customStyle="1" w:styleId="atn">
    <w:name w:val="atn"/>
    <w:basedOn w:val="DefaultParagraphFont"/>
    <w:rsid w:val="00B01DD9"/>
  </w:style>
  <w:style w:type="character" w:customStyle="1" w:styleId="Heading1Char">
    <w:name w:val="Heading 1 Char"/>
    <w:basedOn w:val="DefaultParagraphFont"/>
    <w:link w:val="Heading1"/>
    <w:uiPriority w:val="9"/>
    <w:rsid w:val="00DE2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669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E26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266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266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6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E2669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387F-D04F-4690-A56D-0C3DF82D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Valentina</cp:lastModifiedBy>
  <cp:revision>123</cp:revision>
  <cp:lastPrinted>2011-06-02T10:45:00Z</cp:lastPrinted>
  <dcterms:created xsi:type="dcterms:W3CDTF">2011-04-13T13:11:00Z</dcterms:created>
  <dcterms:modified xsi:type="dcterms:W3CDTF">2011-06-02T10:46:00Z</dcterms:modified>
</cp:coreProperties>
</file>