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8F" w:rsidRPr="00EC7353" w:rsidRDefault="0012478F" w:rsidP="0012478F">
      <w:pPr>
        <w:spacing w:after="0" w:line="276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val="sq-AL"/>
        </w:rPr>
        <w:t>Pa. nr. 08-27</w:t>
      </w:r>
    </w:p>
    <w:p w:rsidR="0012478F" w:rsidRPr="009B6E43" w:rsidRDefault="0012478F" w:rsidP="0012478F">
      <w:pPr>
        <w:spacing w:after="0" w:line="276" w:lineRule="auto"/>
        <w:jc w:val="right"/>
        <w:rPr>
          <w:rFonts w:eastAsia="Calibri" w:cstheme="minorHAnsi"/>
          <w:sz w:val="24"/>
          <w:szCs w:val="24"/>
          <w:lang w:val="sq-AL"/>
        </w:rPr>
      </w:pPr>
    </w:p>
    <w:p w:rsidR="0012478F" w:rsidRPr="009B6E43" w:rsidRDefault="0012478F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9B6E43">
        <w:rPr>
          <w:rFonts w:eastAsia="Calibri" w:cstheme="minorHAnsi"/>
          <w:sz w:val="24"/>
          <w:szCs w:val="24"/>
          <w:lang w:val="sq-AL"/>
        </w:rPr>
        <w:t>Komisioni për Mbrojtjen e Konkurrencës në bazë  të nenit 28 dhe nenit 19 paragrafi (1) pika 2) të Ligjit për Mbrojtjen e Konkurrencës ("Gazeta Zyrta</w:t>
      </w:r>
      <w:r>
        <w:rPr>
          <w:rFonts w:eastAsia="Calibri" w:cstheme="minorHAnsi"/>
          <w:sz w:val="24"/>
          <w:szCs w:val="24"/>
          <w:lang w:val="sq-AL"/>
        </w:rPr>
        <w:t>re e Republikës së Maqedonisë" n</w:t>
      </w:r>
      <w:r w:rsidRPr="009B6E43">
        <w:rPr>
          <w:rFonts w:eastAsia="Calibri" w:cstheme="minorHAnsi"/>
          <w:sz w:val="24"/>
          <w:szCs w:val="24"/>
          <w:lang w:val="sq-AL"/>
        </w:rPr>
        <w:t xml:space="preserve">r. 145/10, 136/11, 41/2014, 41/2014, 53/16 dhe 83/18), si dhe duke vepruar sipas njoftimit për përqendrim </w:t>
      </w:r>
      <w:r>
        <w:rPr>
          <w:rFonts w:eastAsia="Calibri" w:cstheme="minorHAnsi"/>
          <w:sz w:val="24"/>
          <w:szCs w:val="24"/>
          <w:lang w:val="sq-AL"/>
        </w:rPr>
        <w:t>të</w:t>
      </w:r>
      <w:r w:rsidRPr="009B6E43">
        <w:rPr>
          <w:rFonts w:eastAsia="Calibri" w:cstheme="minorHAnsi"/>
          <w:sz w:val="24"/>
          <w:szCs w:val="24"/>
          <w:lang w:val="sq-AL"/>
        </w:rPr>
        <w:t xml:space="preserve"> parashtruar </w:t>
      </w:r>
      <w:r>
        <w:rPr>
          <w:rFonts w:eastAsia="Calibri" w:cstheme="minorHAnsi"/>
          <w:sz w:val="24"/>
          <w:szCs w:val="24"/>
          <w:lang w:val="sq-AL"/>
        </w:rPr>
        <w:t xml:space="preserve"> nga shoqëria  </w:t>
      </w:r>
      <w:r>
        <w:rPr>
          <w:rFonts w:eastAsia="Calibri" w:cstheme="minorHAnsi"/>
          <w:sz w:val="24"/>
          <w:szCs w:val="24"/>
          <w:lang w:val="sq-AL"/>
        </w:rPr>
        <w:t xml:space="preserve">Dr.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Ing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H.c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F.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Porsche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Aktiengesellschaft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me seli të regjistruar në </w:t>
      </w:r>
      <w:proofErr w:type="spellStart"/>
      <w:r>
        <w:rPr>
          <w:rFonts w:eastAsia="Calibri" w:cstheme="minorHAnsi"/>
          <w:sz w:val="24"/>
          <w:szCs w:val="24"/>
          <w:lang w:val="sq-AL"/>
        </w:rPr>
        <w:t>Porsheplac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1, 70435 </w:t>
      </w:r>
      <w:proofErr w:type="spellStart"/>
      <w:r>
        <w:rPr>
          <w:rFonts w:eastAsia="Calibri" w:cstheme="minorHAnsi"/>
          <w:sz w:val="24"/>
          <w:szCs w:val="24"/>
          <w:lang w:val="sq-AL"/>
        </w:rPr>
        <w:t>Shtutgart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Gjermani, </w:t>
      </w:r>
      <w:r>
        <w:rPr>
          <w:rFonts w:eastAsia="Calibri" w:cstheme="minorHAnsi"/>
          <w:sz w:val="24"/>
          <w:szCs w:val="24"/>
          <w:lang w:val="sq-AL"/>
        </w:rPr>
        <w:t xml:space="preserve"> i dorëzuar përmes </w:t>
      </w:r>
      <w:proofErr w:type="spellStart"/>
      <w:r>
        <w:rPr>
          <w:rFonts w:eastAsia="Calibri" w:cstheme="minorHAnsi"/>
          <w:sz w:val="24"/>
          <w:szCs w:val="24"/>
          <w:lang w:val="sq-AL"/>
        </w:rPr>
        <w:t>Bozhidar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Millosheviq</w:t>
      </w:r>
      <w:proofErr w:type="spellEnd"/>
      <w:r>
        <w:rPr>
          <w:rFonts w:eastAsia="Calibri" w:cstheme="minorHAnsi"/>
          <w:sz w:val="24"/>
          <w:szCs w:val="24"/>
          <w:lang w:val="sq-AL"/>
        </w:rPr>
        <w:t>, avokatë</w:t>
      </w:r>
      <w:r w:rsidRPr="009B6E43">
        <w:rPr>
          <w:rFonts w:eastAsia="Calibri" w:cstheme="minorHAnsi"/>
          <w:sz w:val="24"/>
          <w:szCs w:val="24"/>
          <w:lang w:val="sq-AL"/>
        </w:rPr>
        <w:t xml:space="preserve"> nga Shkupi</w:t>
      </w:r>
      <w:r>
        <w:rPr>
          <w:rFonts w:eastAsia="Calibri" w:cstheme="minorHAnsi"/>
          <w:sz w:val="24"/>
          <w:szCs w:val="24"/>
          <w:lang w:val="sq-AL"/>
        </w:rPr>
        <w:t>,  në seancën e mbajtur më 02.03</w:t>
      </w:r>
      <w:r w:rsidRPr="009B6E43">
        <w:rPr>
          <w:rFonts w:eastAsia="Calibri" w:cstheme="minorHAnsi"/>
          <w:sz w:val="24"/>
          <w:szCs w:val="24"/>
          <w:lang w:val="sq-AL"/>
        </w:rPr>
        <w:t>.2022, merr këtë:</w:t>
      </w:r>
    </w:p>
    <w:p w:rsidR="0012478F" w:rsidRPr="009B6E43" w:rsidRDefault="0012478F" w:rsidP="0012478F">
      <w:pPr>
        <w:spacing w:after="0" w:line="276" w:lineRule="auto"/>
        <w:jc w:val="center"/>
        <w:rPr>
          <w:rFonts w:eastAsia="Calibri" w:cstheme="minorHAnsi"/>
          <w:sz w:val="24"/>
          <w:szCs w:val="24"/>
          <w:lang w:val="sq-AL"/>
        </w:rPr>
      </w:pPr>
    </w:p>
    <w:p w:rsidR="0012478F" w:rsidRDefault="0012478F" w:rsidP="0012478F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val="sq-AL"/>
        </w:rPr>
      </w:pPr>
      <w:r w:rsidRPr="009B6E43">
        <w:rPr>
          <w:rFonts w:eastAsia="Calibri" w:cstheme="minorHAnsi"/>
          <w:b/>
          <w:sz w:val="24"/>
          <w:szCs w:val="24"/>
          <w:lang w:val="sq-AL"/>
        </w:rPr>
        <w:t xml:space="preserve">AKTVENDIM </w:t>
      </w:r>
    </w:p>
    <w:p w:rsidR="0012478F" w:rsidRPr="009B6E43" w:rsidRDefault="0012478F" w:rsidP="0012478F">
      <w:pPr>
        <w:spacing w:after="12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1.Vërtetohet se përqendrimi që i referohet fitimit të kontrollit të pavarur nga </w:t>
      </w:r>
      <w:r>
        <w:rPr>
          <w:rFonts w:eastAsia="Calibri" w:cstheme="minorHAnsi"/>
          <w:sz w:val="24"/>
          <w:szCs w:val="24"/>
          <w:lang w:val="sq-AL"/>
        </w:rPr>
        <w:t xml:space="preserve">Dr.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Ing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H.c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F.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Porsche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Aktiengesellschaft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me seli të regjistruar në </w:t>
      </w:r>
      <w:proofErr w:type="spellStart"/>
      <w:r>
        <w:rPr>
          <w:rFonts w:eastAsia="Calibri" w:cstheme="minorHAnsi"/>
          <w:sz w:val="24"/>
          <w:szCs w:val="24"/>
          <w:lang w:val="sq-AL"/>
        </w:rPr>
        <w:t>Porsheplac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1, 70435 </w:t>
      </w:r>
      <w:proofErr w:type="spellStart"/>
      <w:r>
        <w:rPr>
          <w:rFonts w:eastAsia="Calibri" w:cstheme="minorHAnsi"/>
          <w:sz w:val="24"/>
          <w:szCs w:val="24"/>
          <w:lang w:val="sq-AL"/>
        </w:rPr>
        <w:t>Shtutgart</w:t>
      </w:r>
      <w:proofErr w:type="spellEnd"/>
      <w:r>
        <w:rPr>
          <w:rFonts w:eastAsia="Calibri" w:cstheme="minorHAnsi"/>
          <w:sz w:val="24"/>
          <w:szCs w:val="24"/>
          <w:lang w:val="sq-AL"/>
        </w:rPr>
        <w:t>, Gjermani</w:t>
      </w:r>
      <w:r>
        <w:rPr>
          <w:rFonts w:eastAsia="Calibri" w:cstheme="minorHAnsi"/>
          <w:sz w:val="24"/>
          <w:szCs w:val="24"/>
          <w:lang w:val="sq-AL"/>
        </w:rPr>
        <w:t xml:space="preserve">, mbi shoqërinë </w:t>
      </w:r>
      <w:proofErr w:type="spellStart"/>
      <w:r>
        <w:rPr>
          <w:rFonts w:eastAsia="Calibri" w:cstheme="minorHAnsi"/>
          <w:sz w:val="24"/>
          <w:szCs w:val="24"/>
          <w:lang w:val="sq-AL"/>
        </w:rPr>
        <w:t>Fazua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GmbH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me seli të regjistruar në adresën </w:t>
      </w:r>
      <w:proofErr w:type="spellStart"/>
      <w:r>
        <w:rPr>
          <w:rFonts w:eastAsia="Calibri" w:cstheme="minorHAnsi"/>
          <w:sz w:val="24"/>
          <w:szCs w:val="24"/>
          <w:lang w:val="sq-AL"/>
        </w:rPr>
        <w:t>Marija-Kiri-Shtrase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6, 85521 </w:t>
      </w:r>
      <w:proofErr w:type="spellStart"/>
      <w:r>
        <w:rPr>
          <w:rFonts w:eastAsia="Calibri" w:cstheme="minorHAnsi"/>
          <w:sz w:val="24"/>
          <w:szCs w:val="24"/>
          <w:lang w:val="sq-AL"/>
        </w:rPr>
        <w:t>Otobrun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Gjermani, përmes fitimit të pjesëve, </w:t>
      </w:r>
      <w:r w:rsidRPr="009B6E43">
        <w:rPr>
          <w:rFonts w:ascii="Calibri" w:hAnsi="Calibri" w:cs="Calibri"/>
          <w:sz w:val="24"/>
          <w:szCs w:val="24"/>
          <w:lang w:val="sq-AL"/>
        </w:rPr>
        <w:t xml:space="preserve">edhe pse është në kuadër të dispozitave të Ligjit për mbrojtjen e konkurrencës, nuk do të ketë  për pasojë parandalimin, kufizimin ose çrregullimin  e konsiderueshëm të konkurrencës efektive të tregut ose pjesës së tij thelbësore, sidomos si rezultat i formimit apo forcimit të pozitës dominuese të pjesëmarrësve dhe si i tillë </w:t>
      </w:r>
      <w:r w:rsidRPr="009B6E43">
        <w:rPr>
          <w:rFonts w:ascii="Calibri" w:hAnsi="Calibri" w:cs="Calibri"/>
          <w:b/>
          <w:sz w:val="24"/>
          <w:szCs w:val="24"/>
          <w:lang w:val="sq-AL"/>
        </w:rPr>
        <w:t>është në përputhje me dispozitat e Ligjit të mbrojtjes së konkurrencës në kuptim të nenit 19 paragrafi (1) pika 2) të Ligjit për mbrojtjen e konkurrencës.</w:t>
      </w:r>
    </w:p>
    <w:p w:rsidR="0012478F" w:rsidRPr="009B6E43" w:rsidRDefault="0012478F" w:rsidP="0012478F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</w:p>
    <w:p w:rsidR="0012478F" w:rsidRPr="009B6E43" w:rsidRDefault="0012478F" w:rsidP="0012478F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</w:p>
    <w:p w:rsidR="0012478F" w:rsidRPr="009B6E43" w:rsidRDefault="0012478F" w:rsidP="0012478F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  <w:r>
        <w:rPr>
          <w:rFonts w:ascii="Calibri" w:hAnsi="Calibri" w:cs="Calibri"/>
          <w:sz w:val="24"/>
          <w:szCs w:val="24"/>
          <w:lang w:val="sq-AL"/>
        </w:rPr>
        <w:t>2.</w:t>
      </w:r>
      <w:r w:rsidRPr="009B6E43">
        <w:rPr>
          <w:rFonts w:ascii="Calibri" w:hAnsi="Calibri" w:cs="Calibri"/>
          <w:sz w:val="24"/>
          <w:szCs w:val="24"/>
          <w:lang w:val="sq-AL"/>
        </w:rPr>
        <w:t xml:space="preserve"> Parashtruesi i njoftimit për përqendrim obligohet që për njoftimin për përqendrim të paguaj  taksë administrative në shumë prej </w:t>
      </w:r>
      <w:r w:rsidRPr="009B6E43">
        <w:rPr>
          <w:rFonts w:ascii="Calibri" w:eastAsia="Times New Roman" w:hAnsi="Calibri" w:cs="Calibri"/>
          <w:sz w:val="24"/>
          <w:szCs w:val="24"/>
          <w:lang w:val="sq-AL"/>
        </w:rPr>
        <w:t xml:space="preserve">6.000,оо </w:t>
      </w:r>
      <w:proofErr w:type="spellStart"/>
      <w:r w:rsidRPr="009B6E43">
        <w:rPr>
          <w:rFonts w:ascii="Calibri" w:hAnsi="Calibri" w:cs="Calibri"/>
          <w:sz w:val="24"/>
          <w:szCs w:val="24"/>
          <w:lang w:val="sq-AL"/>
        </w:rPr>
        <w:t>denarë</w:t>
      </w:r>
      <w:proofErr w:type="spellEnd"/>
      <w:r w:rsidRPr="009B6E43">
        <w:rPr>
          <w:rFonts w:ascii="Calibri" w:hAnsi="Calibri" w:cs="Calibri"/>
          <w:sz w:val="24"/>
          <w:szCs w:val="24"/>
          <w:lang w:val="sq-AL"/>
        </w:rPr>
        <w:t xml:space="preserve">. dhe për aktvendimin në shumën prej </w:t>
      </w:r>
      <w:r w:rsidRPr="009B6E43">
        <w:rPr>
          <w:rFonts w:ascii="Calibri" w:eastAsia="Times New Roman" w:hAnsi="Calibri" w:cs="Calibri"/>
          <w:sz w:val="24"/>
          <w:szCs w:val="24"/>
          <w:lang w:val="sq-AL"/>
        </w:rPr>
        <w:t xml:space="preserve">30.000,оо </w:t>
      </w:r>
      <w:proofErr w:type="spellStart"/>
      <w:r w:rsidRPr="009B6E43">
        <w:rPr>
          <w:rFonts w:ascii="Calibri" w:hAnsi="Calibri" w:cs="Calibri"/>
          <w:sz w:val="24"/>
          <w:szCs w:val="24"/>
          <w:lang w:val="sq-AL"/>
        </w:rPr>
        <w:t>denarë</w:t>
      </w:r>
      <w:proofErr w:type="spellEnd"/>
      <w:r w:rsidRPr="009B6E43">
        <w:rPr>
          <w:rFonts w:ascii="Calibri" w:hAnsi="Calibri" w:cs="Calibri"/>
          <w:sz w:val="24"/>
          <w:szCs w:val="24"/>
          <w:lang w:val="sq-AL"/>
        </w:rPr>
        <w:t>, sipas numrit tarifor 34 të Ligjit për taksa administrative ( Gazeta zyrtare e Republikës së Maqedonisë nr. 17/93, 20/96, 7/98, 13/01, 24/03, 19/04, 61/04 dhe 95/05, 7/06, 70/06, 92/07, 88/08, 130/08, 6/10, 145/10. 17/11) në llogarinë e Buxhetit të Republikës së Maqedonisë së Veriut nr. 100000000063095, llogarinë e pagesës 840…..03161, shifrën e  të ardhurave dhe programin 72231300.</w:t>
      </w:r>
    </w:p>
    <w:p w:rsidR="0012478F" w:rsidRPr="009B6E43" w:rsidRDefault="0012478F" w:rsidP="0012478F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</w:p>
    <w:p w:rsidR="0012478F" w:rsidRDefault="0012478F" w:rsidP="0012478F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  <w:r>
        <w:rPr>
          <w:rFonts w:ascii="Calibri" w:hAnsi="Calibri" w:cs="Calibri"/>
          <w:sz w:val="24"/>
          <w:szCs w:val="24"/>
          <w:lang w:val="sq-AL"/>
        </w:rPr>
        <w:t>3.</w:t>
      </w:r>
      <w:r w:rsidRPr="009B6E43">
        <w:rPr>
          <w:rFonts w:ascii="Calibri" w:hAnsi="Calibri" w:cs="Calibri"/>
          <w:sz w:val="24"/>
          <w:szCs w:val="24"/>
          <w:lang w:val="sq-AL"/>
        </w:rPr>
        <w:t xml:space="preserve"> </w:t>
      </w:r>
      <w:r>
        <w:rPr>
          <w:rFonts w:ascii="Calibri" w:hAnsi="Calibri" w:cs="Calibri"/>
          <w:sz w:val="24"/>
          <w:szCs w:val="24"/>
          <w:lang w:val="sq-AL"/>
        </w:rPr>
        <w:t>Padia për ngritjen e kontestit administrativ nuk e prolongon përmbarimin e aktvendimit.</w:t>
      </w:r>
    </w:p>
    <w:p w:rsidR="0012478F" w:rsidRPr="009B6E43" w:rsidRDefault="0012478F" w:rsidP="0012478F">
      <w:p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12478F" w:rsidRDefault="0012478F" w:rsidP="0012478F">
      <w:pPr>
        <w:jc w:val="center"/>
        <w:rPr>
          <w:rFonts w:eastAsia="Calibri" w:cstheme="minorHAnsi"/>
          <w:b/>
          <w:sz w:val="24"/>
          <w:szCs w:val="24"/>
          <w:lang w:val="sq-AL"/>
        </w:rPr>
      </w:pPr>
      <w:r w:rsidRPr="009B6E43">
        <w:rPr>
          <w:rFonts w:eastAsia="Calibri" w:cstheme="minorHAnsi"/>
          <w:b/>
          <w:sz w:val="24"/>
          <w:szCs w:val="24"/>
          <w:lang w:val="sq-AL"/>
        </w:rPr>
        <w:t xml:space="preserve">Arsyetim </w:t>
      </w:r>
    </w:p>
    <w:p w:rsidR="0012478F" w:rsidRPr="009B6E43" w:rsidRDefault="0012478F" w:rsidP="0012478F">
      <w:pPr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12478F" w:rsidRDefault="0012478F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9B6E43">
        <w:rPr>
          <w:rFonts w:eastAsia="Calibri" w:cstheme="minorHAnsi"/>
          <w:sz w:val="24"/>
          <w:szCs w:val="24"/>
          <w:lang w:val="sq-AL"/>
        </w:rPr>
        <w:t>Në përputhje të nenit 15 të Ligjit për</w:t>
      </w:r>
      <w:r>
        <w:rPr>
          <w:rFonts w:eastAsia="Calibri" w:cstheme="minorHAnsi"/>
          <w:sz w:val="24"/>
          <w:szCs w:val="24"/>
          <w:lang w:val="sq-AL"/>
        </w:rPr>
        <w:t xml:space="preserve"> mbrojtjen e konkurrencës, më 26</w:t>
      </w:r>
      <w:r>
        <w:rPr>
          <w:rFonts w:eastAsia="Calibri" w:cstheme="minorHAnsi"/>
          <w:sz w:val="24"/>
          <w:szCs w:val="24"/>
          <w:lang w:val="sq-AL"/>
        </w:rPr>
        <w:t>.01</w:t>
      </w:r>
      <w:r w:rsidRPr="009B6E43">
        <w:rPr>
          <w:rFonts w:eastAsia="Calibri" w:cstheme="minorHAnsi"/>
          <w:sz w:val="24"/>
          <w:szCs w:val="24"/>
          <w:lang w:val="sq-AL"/>
        </w:rPr>
        <w:t>.2</w:t>
      </w:r>
      <w:r>
        <w:rPr>
          <w:rFonts w:eastAsia="Calibri" w:cstheme="minorHAnsi"/>
          <w:sz w:val="24"/>
          <w:szCs w:val="24"/>
          <w:lang w:val="sq-AL"/>
        </w:rPr>
        <w:t xml:space="preserve">022, i plotësuar më </w:t>
      </w:r>
      <w:r>
        <w:rPr>
          <w:rFonts w:eastAsia="Calibri" w:cstheme="minorHAnsi"/>
          <w:sz w:val="24"/>
          <w:szCs w:val="24"/>
          <w:lang w:val="sq-AL"/>
        </w:rPr>
        <w:t>07.02</w:t>
      </w:r>
      <w:r>
        <w:rPr>
          <w:rFonts w:eastAsia="Calibri" w:cstheme="minorHAnsi"/>
          <w:sz w:val="24"/>
          <w:szCs w:val="24"/>
          <w:lang w:val="sq-AL"/>
        </w:rPr>
        <w:t xml:space="preserve">.2022, </w:t>
      </w:r>
      <w:r w:rsidRPr="009B6E43">
        <w:rPr>
          <w:rFonts w:eastAsia="Calibri" w:cstheme="minorHAnsi"/>
          <w:sz w:val="24"/>
          <w:szCs w:val="24"/>
          <w:lang w:val="sq-AL"/>
        </w:rPr>
        <w:t>te Komisioni për Mbrojtjen e Konkurrencës (në tekstin e mëtejmë: Komisioni) u dorëzua  një  njoftim për përqendrim</w:t>
      </w:r>
      <w:r w:rsidR="00221C6D">
        <w:rPr>
          <w:rFonts w:eastAsia="Calibri" w:cstheme="minorHAnsi"/>
          <w:sz w:val="24"/>
          <w:szCs w:val="24"/>
          <w:lang w:val="sq-AL"/>
        </w:rPr>
        <w:t xml:space="preserve"> nga </w:t>
      </w:r>
      <w:r w:rsidR="00221C6D">
        <w:rPr>
          <w:rFonts w:eastAsia="Calibri" w:cstheme="minorHAnsi"/>
          <w:sz w:val="24"/>
          <w:szCs w:val="24"/>
          <w:lang w:val="sq-AL"/>
        </w:rPr>
        <w:t xml:space="preserve">Dr.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Ing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.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H.c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. F.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Porsche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Aktiengesellschaft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, me seli të regjistruar në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Porsheplac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 1, 70435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Shtutgart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>, Gjermani,</w:t>
      </w:r>
      <w:r w:rsidR="00221C6D">
        <w:rPr>
          <w:rFonts w:eastAsia="Calibri" w:cstheme="minorHAnsi"/>
          <w:sz w:val="24"/>
          <w:szCs w:val="24"/>
          <w:lang w:val="sq-AL"/>
        </w:rPr>
        <w:t xml:space="preserve"> ku </w:t>
      </w:r>
      <w:r w:rsidR="00221C6D">
        <w:rPr>
          <w:rFonts w:eastAsia="Calibri" w:cstheme="minorHAnsi"/>
          <w:sz w:val="24"/>
          <w:szCs w:val="24"/>
          <w:lang w:val="sq-AL"/>
        </w:rPr>
        <w:t xml:space="preserve">Dr.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Ing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.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H.c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. F.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Porsche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Aktiengesellschaft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,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Shtutgart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>, Gjermani,</w:t>
      </w:r>
      <w:r w:rsidR="00221C6D">
        <w:rPr>
          <w:rFonts w:eastAsia="Calibri" w:cstheme="minorHAnsi"/>
          <w:sz w:val="24"/>
          <w:szCs w:val="24"/>
          <w:lang w:val="sq-AL"/>
        </w:rPr>
        <w:t xml:space="preserve"> fiton kontroll mbi shoqërinë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Fazua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GmbH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, me seli të regjistruar në adresën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Marija-Kiri-Shtrase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 xml:space="preserve"> 6, 85521 </w:t>
      </w:r>
      <w:proofErr w:type="spellStart"/>
      <w:r w:rsidR="00221C6D">
        <w:rPr>
          <w:rFonts w:eastAsia="Calibri" w:cstheme="minorHAnsi"/>
          <w:sz w:val="24"/>
          <w:szCs w:val="24"/>
          <w:lang w:val="sq-AL"/>
        </w:rPr>
        <w:t>Otobrun</w:t>
      </w:r>
      <w:proofErr w:type="spellEnd"/>
      <w:r w:rsidR="00221C6D">
        <w:rPr>
          <w:rFonts w:eastAsia="Calibri" w:cstheme="minorHAnsi"/>
          <w:sz w:val="24"/>
          <w:szCs w:val="24"/>
          <w:lang w:val="sq-AL"/>
        </w:rPr>
        <w:t>, Gjermani, përmes fitimit të pjesëve</w:t>
      </w:r>
      <w:r w:rsidR="00221C6D">
        <w:rPr>
          <w:rFonts w:eastAsia="Calibri" w:cstheme="minorHAnsi"/>
          <w:sz w:val="24"/>
          <w:szCs w:val="24"/>
          <w:lang w:val="sq-AL"/>
        </w:rPr>
        <w:t>.</w:t>
      </w:r>
    </w:p>
    <w:p w:rsidR="00221C6D" w:rsidRDefault="00221C6D" w:rsidP="00221C6D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9B6E43">
        <w:rPr>
          <w:rFonts w:eastAsia="Calibri" w:cstheme="minorHAnsi"/>
          <w:sz w:val="24"/>
          <w:szCs w:val="24"/>
          <w:lang w:val="sq-AL"/>
        </w:rPr>
        <w:lastRenderedPageBreak/>
        <w:t>Komisioni filloi shqyrtimin e Njoftimit nga dita e pranimit të tij dhe në bazën e të dhënave të paraqitura në Njoftimin për përqendrim ,  shtojcat dhe anekset e tyre, konstatoi si në vijim:</w:t>
      </w:r>
    </w:p>
    <w:p w:rsidR="00221C6D" w:rsidRDefault="00221C6D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221C6D" w:rsidRDefault="00221C6D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Dr.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Ing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H.c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F.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Porsche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Aktiengesellschaft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është shoqëri aksionare, e themeluar sipas ligjeve të Gjermanisë. </w:t>
      </w:r>
      <w:proofErr w:type="spellStart"/>
      <w:r w:rsidRPr="00221C6D">
        <w:rPr>
          <w:rFonts w:eastAsia="Calibri" w:cstheme="minorHAnsi"/>
          <w:sz w:val="24"/>
          <w:szCs w:val="24"/>
          <w:lang w:val="sq-AL"/>
        </w:rPr>
        <w:t>Porsche</w:t>
      </w:r>
      <w:proofErr w:type="spellEnd"/>
      <w:r w:rsidRPr="00221C6D">
        <w:rPr>
          <w:rFonts w:eastAsia="Calibri" w:cstheme="minorHAnsi"/>
          <w:sz w:val="24"/>
          <w:szCs w:val="24"/>
          <w:lang w:val="sq-AL"/>
        </w:rPr>
        <w:t xml:space="preserve"> është një prodhues gjerman i makinave i specializuar në projektimin, prodhimin dhe shpërndarjen e makinave sportive, SUV-ve kompakte me performancë të lartë.</w:t>
      </w:r>
    </w:p>
    <w:p w:rsidR="00351C99" w:rsidRDefault="00351C99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351C99" w:rsidRDefault="00351C99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Dr.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Ing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H.c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F. </w:t>
      </w:r>
      <w:proofErr w:type="spellStart"/>
      <w:r>
        <w:rPr>
          <w:rFonts w:eastAsia="Calibri" w:cstheme="minorHAnsi"/>
          <w:sz w:val="24"/>
          <w:szCs w:val="24"/>
          <w:lang w:val="sq-AL"/>
        </w:rPr>
        <w:t>Porsche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Aktiengesellschaft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është një shoqëri e varur indirekte në pronësi të plotë të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Aktiengesellschaft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aksionet e të cilës tregtohen publikisht, me seli në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Volfsburg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(Gjermani), e cila është shoqëri udhëheqëse</w:t>
      </w:r>
      <w:r w:rsidR="00883485">
        <w:rPr>
          <w:rFonts w:eastAsia="Calibri" w:cstheme="minorHAnsi"/>
          <w:sz w:val="24"/>
          <w:szCs w:val="24"/>
          <w:lang w:val="sq-AL"/>
        </w:rPr>
        <w:t xml:space="preserve"> </w:t>
      </w:r>
      <w:r>
        <w:rPr>
          <w:rFonts w:eastAsia="Calibri" w:cstheme="minorHAnsi"/>
          <w:sz w:val="24"/>
          <w:szCs w:val="24"/>
          <w:lang w:val="sq-AL"/>
        </w:rPr>
        <w:t xml:space="preserve">(mëmë) e Grupit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>(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Group</w:t>
      </w:r>
      <w:proofErr w:type="spellEnd"/>
      <w:r>
        <w:rPr>
          <w:rFonts w:eastAsia="Calibri" w:cstheme="minorHAnsi"/>
          <w:sz w:val="24"/>
          <w:szCs w:val="24"/>
          <w:lang w:val="sq-AL"/>
        </w:rPr>
        <w:t>).</w:t>
      </w:r>
    </w:p>
    <w:p w:rsidR="00883485" w:rsidRDefault="00883485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883485" w:rsidRDefault="00883485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Grupi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është aktiv në mbarë botën me zhvillimin, prodhimin, marketingun, dhe shitjen e makinave të pasagjereve, </w:t>
      </w:r>
      <w:r>
        <w:rPr>
          <w:rFonts w:eastAsia="Calibri" w:cstheme="minorHAnsi"/>
          <w:sz w:val="24"/>
          <w:szCs w:val="24"/>
          <w:lang w:val="sq-AL"/>
        </w:rPr>
        <w:t>kamionëve të lehtë komercial,</w:t>
      </w:r>
      <w:r>
        <w:rPr>
          <w:rFonts w:eastAsia="Calibri" w:cstheme="minorHAnsi"/>
          <w:sz w:val="24"/>
          <w:szCs w:val="24"/>
          <w:lang w:val="sq-AL"/>
        </w:rPr>
        <w:t xml:space="preserve"> autobusëve transportues(</w:t>
      </w:r>
      <w:proofErr w:type="spellStart"/>
      <w:r>
        <w:rPr>
          <w:rFonts w:eastAsia="Calibri" w:cstheme="minorHAnsi"/>
          <w:sz w:val="24"/>
          <w:szCs w:val="24"/>
          <w:lang w:val="sq-AL"/>
        </w:rPr>
        <w:t>coaches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), </w:t>
      </w:r>
      <w:proofErr w:type="spellStart"/>
      <w:r>
        <w:rPr>
          <w:rFonts w:eastAsia="Calibri" w:cstheme="minorHAnsi"/>
          <w:sz w:val="24"/>
          <w:szCs w:val="24"/>
          <w:lang w:val="sq-AL"/>
        </w:rPr>
        <w:t>shasi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për autobusë dhe motorëve me naftë, motoçikletave, përfshi pjesë rezervë dhe pajisje shtesë</w:t>
      </w:r>
      <w:r w:rsidR="00955D78">
        <w:rPr>
          <w:rFonts w:eastAsia="Calibri" w:cstheme="minorHAnsi"/>
          <w:sz w:val="24"/>
          <w:szCs w:val="24"/>
          <w:lang w:val="sq-AL"/>
        </w:rPr>
        <w:t xml:space="preserve"> për të gjitha kategoritë e automjeteve. Grupi </w:t>
      </w:r>
      <w:proofErr w:type="spellStart"/>
      <w:r w:rsidR="00955D78"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 w:rsidR="00955D78">
        <w:rPr>
          <w:rFonts w:eastAsia="Calibri" w:cstheme="minorHAnsi"/>
          <w:sz w:val="24"/>
          <w:szCs w:val="24"/>
          <w:lang w:val="sq-AL"/>
        </w:rPr>
        <w:t xml:space="preserve"> është gjithashtu i përfshirë në shpërndarjen e automjeteve.</w:t>
      </w:r>
    </w:p>
    <w:p w:rsidR="00955D78" w:rsidRDefault="00955D78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955D78" w:rsidRDefault="00955D78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Grupi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përshin markat e automjeteve motorike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Passenger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Cars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Light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sq-AL"/>
        </w:rPr>
        <w:t>Commercial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</w:t>
      </w:r>
      <w:proofErr w:type="spellStart"/>
      <w:r>
        <w:rPr>
          <w:rFonts w:eastAsia="Calibri" w:cstheme="minorHAnsi"/>
          <w:sz w:val="24"/>
          <w:szCs w:val="24"/>
          <w:lang w:val="sq-AL"/>
        </w:rPr>
        <w:t>Porsche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</w:t>
      </w:r>
      <w:proofErr w:type="spellStart"/>
      <w:r>
        <w:rPr>
          <w:rFonts w:eastAsia="Calibri" w:cstheme="minorHAnsi"/>
          <w:sz w:val="24"/>
          <w:szCs w:val="24"/>
          <w:lang w:val="sq-AL"/>
        </w:rPr>
        <w:t>Audi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</w:t>
      </w:r>
      <w:proofErr w:type="spellStart"/>
      <w:r>
        <w:rPr>
          <w:rFonts w:eastAsia="Calibri" w:cstheme="minorHAnsi"/>
          <w:sz w:val="24"/>
          <w:szCs w:val="24"/>
          <w:lang w:val="sq-AL"/>
        </w:rPr>
        <w:t>Škoda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</w:t>
      </w:r>
      <w:proofErr w:type="spellStart"/>
      <w:r>
        <w:rPr>
          <w:rFonts w:eastAsia="Calibri" w:cstheme="minorHAnsi"/>
          <w:sz w:val="24"/>
          <w:szCs w:val="24"/>
          <w:lang w:val="sq-AL"/>
        </w:rPr>
        <w:t>Lamborghini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, SEAT, MAN, </w:t>
      </w:r>
      <w:proofErr w:type="spellStart"/>
      <w:r>
        <w:rPr>
          <w:rFonts w:eastAsia="Calibri" w:cstheme="minorHAnsi"/>
          <w:sz w:val="24"/>
          <w:szCs w:val="24"/>
          <w:lang w:val="sq-AL"/>
        </w:rPr>
        <w:t>Scania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dhe </w:t>
      </w:r>
      <w:proofErr w:type="spellStart"/>
      <w:r>
        <w:rPr>
          <w:rFonts w:eastAsia="Calibri" w:cstheme="minorHAnsi"/>
          <w:sz w:val="24"/>
          <w:szCs w:val="24"/>
          <w:lang w:val="sq-AL"/>
        </w:rPr>
        <w:t>Ducati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Grupi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gjithashtu është aktiv në fushën</w:t>
      </w:r>
      <w:r w:rsidR="00425200">
        <w:rPr>
          <w:rFonts w:eastAsia="Calibri" w:cstheme="minorHAnsi"/>
          <w:sz w:val="24"/>
          <w:szCs w:val="24"/>
          <w:lang w:val="sq-AL"/>
        </w:rPr>
        <w:t xml:space="preserve"> e shërbimeve të automobilave, përfshirë shërbimet e shpërndarjes së automjeteve (car </w:t>
      </w:r>
      <w:proofErr w:type="spellStart"/>
      <w:r w:rsidR="00425200">
        <w:rPr>
          <w:rFonts w:eastAsia="Calibri" w:cstheme="minorHAnsi"/>
          <w:sz w:val="24"/>
          <w:szCs w:val="24"/>
          <w:lang w:val="sq-AL"/>
        </w:rPr>
        <w:t>sharina</w:t>
      </w:r>
      <w:proofErr w:type="spellEnd"/>
      <w:r w:rsidR="00425200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425200">
        <w:rPr>
          <w:rFonts w:eastAsia="Calibri" w:cstheme="minorHAnsi"/>
          <w:sz w:val="24"/>
          <w:szCs w:val="24"/>
          <w:lang w:val="sq-AL"/>
        </w:rPr>
        <w:t>support</w:t>
      </w:r>
      <w:proofErr w:type="spellEnd"/>
      <w:r w:rsidR="00425200">
        <w:rPr>
          <w:rFonts w:eastAsia="Calibri" w:cstheme="minorHAnsi"/>
          <w:sz w:val="24"/>
          <w:szCs w:val="24"/>
          <w:lang w:val="sq-AL"/>
        </w:rPr>
        <w:t xml:space="preserve">) dhe shërbimet për menaxhimin e flotave. Përmes shoqërisë së tij të grupit </w:t>
      </w:r>
      <w:proofErr w:type="spellStart"/>
      <w:r w:rsidR="00425200">
        <w:rPr>
          <w:rFonts w:eastAsia="Calibri" w:cstheme="minorHAnsi"/>
          <w:sz w:val="24"/>
          <w:szCs w:val="24"/>
          <w:lang w:val="sq-AL"/>
        </w:rPr>
        <w:t>Moia</w:t>
      </w:r>
      <w:proofErr w:type="spellEnd"/>
      <w:r w:rsidR="00425200">
        <w:rPr>
          <w:rFonts w:eastAsia="Calibri" w:cstheme="minorHAnsi"/>
          <w:sz w:val="24"/>
          <w:szCs w:val="24"/>
          <w:lang w:val="sq-AL"/>
        </w:rPr>
        <w:t xml:space="preserve">, ofron shërbime për shpërndarjen e automjeteve në Hamburg dhe </w:t>
      </w:r>
      <w:proofErr w:type="spellStart"/>
      <w:r w:rsidR="00425200">
        <w:rPr>
          <w:rFonts w:eastAsia="Calibri" w:cstheme="minorHAnsi"/>
          <w:sz w:val="24"/>
          <w:szCs w:val="24"/>
          <w:lang w:val="sq-AL"/>
        </w:rPr>
        <w:t>Hanover</w:t>
      </w:r>
      <w:proofErr w:type="spellEnd"/>
      <w:r w:rsidR="00425200">
        <w:rPr>
          <w:rFonts w:eastAsia="Calibri" w:cstheme="minorHAnsi"/>
          <w:sz w:val="24"/>
          <w:szCs w:val="24"/>
          <w:lang w:val="sq-AL"/>
        </w:rPr>
        <w:t>.</w:t>
      </w:r>
    </w:p>
    <w:p w:rsidR="00425200" w:rsidRDefault="00425200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AA3B13" w:rsidRDefault="00425200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Për më tepër, Grupi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ofron shërbime financiare dhe shërbime për sigurime lidhur me shpërndarjen dhe financimin e automobilave </w:t>
      </w:r>
      <w:r w:rsidR="00217D2E">
        <w:rPr>
          <w:rFonts w:eastAsia="Calibri" w:cstheme="minorHAnsi"/>
          <w:sz w:val="24"/>
          <w:szCs w:val="24"/>
          <w:lang w:val="sq-AL"/>
        </w:rPr>
        <w:t xml:space="preserve">të veta dhe komerciale, por gjithashtu mbulon sigurime të rregullta bankare dhe të tjera. Kjo veprimtari kryhen kryesisht përmes </w:t>
      </w:r>
      <w:proofErr w:type="spellStart"/>
      <w:r w:rsidR="00217D2E"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 w:rsidR="00217D2E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217D2E">
        <w:rPr>
          <w:rFonts w:eastAsia="Calibri" w:cstheme="minorHAnsi"/>
          <w:sz w:val="24"/>
          <w:szCs w:val="24"/>
          <w:lang w:val="sq-AL"/>
        </w:rPr>
        <w:t>Financial</w:t>
      </w:r>
      <w:proofErr w:type="spellEnd"/>
      <w:r w:rsidR="00217D2E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217D2E">
        <w:rPr>
          <w:rFonts w:eastAsia="Calibri" w:cstheme="minorHAnsi"/>
          <w:sz w:val="24"/>
          <w:szCs w:val="24"/>
          <w:lang w:val="sq-AL"/>
        </w:rPr>
        <w:t>Services</w:t>
      </w:r>
      <w:proofErr w:type="spellEnd"/>
      <w:r w:rsidR="00217D2E">
        <w:rPr>
          <w:rFonts w:eastAsia="Calibri" w:cstheme="minorHAnsi"/>
          <w:sz w:val="24"/>
          <w:szCs w:val="24"/>
          <w:lang w:val="sq-AL"/>
        </w:rPr>
        <w:t xml:space="preserve"> AG( në tekstin e mëtutjeshëm</w:t>
      </w:r>
      <w:r w:rsidR="00F56B7A">
        <w:rPr>
          <w:rFonts w:eastAsia="Calibri" w:cstheme="minorHAnsi"/>
          <w:sz w:val="24"/>
          <w:szCs w:val="24"/>
          <w:lang w:val="sq-AL"/>
        </w:rPr>
        <w:t xml:space="preserve"> </w:t>
      </w:r>
      <w:r w:rsidR="00217D2E">
        <w:rPr>
          <w:rFonts w:eastAsia="Calibri" w:cstheme="minorHAnsi"/>
          <w:sz w:val="24"/>
          <w:szCs w:val="24"/>
          <w:lang w:val="sq-AL"/>
        </w:rPr>
        <w:t>:FSAG) dhe shoqërive të tij të varura. Në një masë të kufizuar</w:t>
      </w:r>
      <w:r w:rsidR="00AA3B13">
        <w:rPr>
          <w:rFonts w:eastAsia="Calibri" w:cstheme="minorHAnsi"/>
          <w:sz w:val="24"/>
          <w:szCs w:val="24"/>
          <w:lang w:val="sq-AL"/>
        </w:rPr>
        <w:t>, FSAG</w:t>
      </w:r>
      <w:r w:rsidR="00217D2E">
        <w:rPr>
          <w:rFonts w:eastAsia="Calibri" w:cstheme="minorHAnsi"/>
          <w:sz w:val="24"/>
          <w:szCs w:val="24"/>
          <w:lang w:val="sq-AL"/>
        </w:rPr>
        <w:t xml:space="preserve"> ofron</w:t>
      </w:r>
      <w:r w:rsidR="00AA3B13">
        <w:rPr>
          <w:rFonts w:eastAsia="Calibri" w:cstheme="minorHAnsi"/>
          <w:sz w:val="24"/>
          <w:szCs w:val="24"/>
          <w:lang w:val="sq-AL"/>
        </w:rPr>
        <w:t xml:space="preserve"> gjithashtu</w:t>
      </w:r>
      <w:r w:rsidR="00217D2E">
        <w:rPr>
          <w:rFonts w:eastAsia="Calibri" w:cstheme="minorHAnsi"/>
          <w:sz w:val="24"/>
          <w:szCs w:val="24"/>
          <w:lang w:val="sq-AL"/>
        </w:rPr>
        <w:t xml:space="preserve"> shërbime të marrjes me qira të makinave</w:t>
      </w:r>
      <w:r w:rsidR="00AA3B13">
        <w:rPr>
          <w:rFonts w:eastAsia="Calibri" w:cstheme="minorHAnsi"/>
          <w:sz w:val="24"/>
          <w:szCs w:val="24"/>
          <w:lang w:val="sq-AL"/>
        </w:rPr>
        <w:t>.</w:t>
      </w:r>
    </w:p>
    <w:p w:rsidR="00AA3B13" w:rsidRDefault="00AA3B13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AA3B13" w:rsidRDefault="00AA3B13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Grupi </w:t>
      </w:r>
      <w:proofErr w:type="spellStart"/>
      <w:r>
        <w:rPr>
          <w:rFonts w:eastAsia="Calibri" w:cstheme="minorHAnsi"/>
          <w:sz w:val="24"/>
          <w:szCs w:val="24"/>
          <w:lang w:val="sq-AL"/>
        </w:rPr>
        <w:t>Volkswagen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është aktiv në tregun me shumicë dhe pakicë të automjeteve të pasagjerëve dhe  makinave komercialë, dhe në tregun e dhënies me </w:t>
      </w:r>
      <w:r w:rsidR="00F56B7A">
        <w:rPr>
          <w:rFonts w:eastAsia="Calibri" w:cstheme="minorHAnsi"/>
          <w:sz w:val="24"/>
          <w:szCs w:val="24"/>
          <w:lang w:val="sq-AL"/>
        </w:rPr>
        <w:t>qira (</w:t>
      </w:r>
      <w:proofErr w:type="spellStart"/>
      <w:r w:rsidR="00F56B7A">
        <w:rPr>
          <w:rFonts w:eastAsia="Calibri" w:cstheme="minorHAnsi"/>
          <w:sz w:val="24"/>
          <w:szCs w:val="24"/>
          <w:lang w:val="sq-AL"/>
        </w:rPr>
        <w:t>leasing</w:t>
      </w:r>
      <w:proofErr w:type="spellEnd"/>
      <w:r w:rsidR="00F56B7A">
        <w:rPr>
          <w:rFonts w:eastAsia="Calibri" w:cstheme="minorHAnsi"/>
          <w:sz w:val="24"/>
          <w:szCs w:val="24"/>
          <w:lang w:val="sq-AL"/>
        </w:rPr>
        <w:t>)</w:t>
      </w:r>
      <w:r>
        <w:rPr>
          <w:rFonts w:eastAsia="Calibri" w:cstheme="minorHAnsi"/>
          <w:sz w:val="24"/>
          <w:szCs w:val="24"/>
          <w:lang w:val="sq-AL"/>
        </w:rPr>
        <w:t xml:space="preserve">  të makinave përmes shoqërive të mëposhtme të regjistruara në Republikën e Maqedonisë së Veriut:</w:t>
      </w:r>
    </w:p>
    <w:p w:rsidR="00AA3B13" w:rsidRDefault="00AA3B13" w:rsidP="0012478F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AA3B13" w:rsidRDefault="00F56B7A" w:rsidP="00AA3B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>Shoqëria</w:t>
      </w:r>
      <w:r>
        <w:rPr>
          <w:rFonts w:eastAsia="Calibri" w:cstheme="minorHAnsi"/>
          <w:sz w:val="24"/>
          <w:szCs w:val="24"/>
          <w:lang w:val="mk-MK"/>
        </w:rPr>
        <w:t xml:space="preserve"> </w:t>
      </w:r>
      <w:r>
        <w:rPr>
          <w:rFonts w:eastAsia="Calibri" w:cstheme="minorHAnsi"/>
          <w:sz w:val="24"/>
          <w:szCs w:val="24"/>
          <w:lang w:val="sq-AL"/>
        </w:rPr>
        <w:t xml:space="preserve">me qira( </w:t>
      </w:r>
      <w:proofErr w:type="spellStart"/>
      <w:r>
        <w:rPr>
          <w:rFonts w:eastAsia="Calibri" w:cstheme="minorHAnsi"/>
          <w:sz w:val="24"/>
          <w:szCs w:val="24"/>
          <w:lang w:val="sq-AL"/>
        </w:rPr>
        <w:t>leasing</w:t>
      </w:r>
      <w:proofErr w:type="spellEnd"/>
      <w:r>
        <w:rPr>
          <w:rFonts w:eastAsia="Calibri" w:cstheme="minorHAnsi"/>
          <w:sz w:val="24"/>
          <w:szCs w:val="24"/>
          <w:lang w:val="sq-AL"/>
        </w:rPr>
        <w:t>)  PORSCHE LEASING  SHPKNJP, me seli të</w:t>
      </w:r>
      <w:r w:rsidR="003B33C5">
        <w:rPr>
          <w:rFonts w:eastAsia="Calibri" w:cstheme="minorHAnsi"/>
          <w:sz w:val="24"/>
          <w:szCs w:val="24"/>
          <w:lang w:val="sq-AL"/>
        </w:rPr>
        <w:t xml:space="preserve"> regjistruar n</w:t>
      </w:r>
      <w:r>
        <w:rPr>
          <w:rFonts w:eastAsia="Calibri" w:cstheme="minorHAnsi"/>
          <w:sz w:val="24"/>
          <w:szCs w:val="24"/>
          <w:lang w:val="sq-AL"/>
        </w:rPr>
        <w:t xml:space="preserve">ë </w:t>
      </w:r>
      <w:proofErr w:type="spellStart"/>
      <w:r>
        <w:rPr>
          <w:rFonts w:eastAsia="Calibri" w:cstheme="minorHAnsi"/>
          <w:sz w:val="24"/>
          <w:szCs w:val="24"/>
          <w:lang w:val="sq-AL"/>
        </w:rPr>
        <w:t>bul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Bosnje dhe Hercegovinë nr. 3 Shkup, me </w:t>
      </w:r>
      <w:r w:rsidR="0033191E">
        <w:rPr>
          <w:rFonts w:eastAsia="Calibri" w:cstheme="minorHAnsi"/>
          <w:sz w:val="24"/>
          <w:szCs w:val="24"/>
          <w:lang w:val="sq-AL"/>
        </w:rPr>
        <w:t>veprimtari të regjistruar-qira financiare;</w:t>
      </w:r>
    </w:p>
    <w:p w:rsidR="0033191E" w:rsidRDefault="0033191E" w:rsidP="0033191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lastRenderedPageBreak/>
        <w:t>S</w:t>
      </w:r>
      <w:r w:rsidRPr="0033191E">
        <w:rPr>
          <w:rFonts w:eastAsia="Calibri" w:cstheme="minorHAnsi"/>
          <w:sz w:val="24"/>
          <w:szCs w:val="24"/>
          <w:lang w:val="sq-AL"/>
        </w:rPr>
        <w:t>hoqëri aksionare për kryerjen e veprimtarive të ndërmjetësimit në sigurime</w:t>
      </w:r>
      <w:r>
        <w:rPr>
          <w:rFonts w:eastAsia="Calibri" w:cstheme="minorHAnsi"/>
          <w:sz w:val="24"/>
          <w:szCs w:val="24"/>
          <w:lang w:val="sq-AL"/>
        </w:rPr>
        <w:t xml:space="preserve"> PORSCHE BROKER SHA Shkup, me seli të regjistruar në </w:t>
      </w:r>
      <w:proofErr w:type="spellStart"/>
      <w:r>
        <w:rPr>
          <w:rFonts w:eastAsia="Calibri" w:cstheme="minorHAnsi"/>
          <w:sz w:val="24"/>
          <w:szCs w:val="24"/>
          <w:lang w:val="sq-AL"/>
        </w:rPr>
        <w:t>bul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</w:t>
      </w:r>
      <w:r>
        <w:rPr>
          <w:rFonts w:eastAsia="Calibri" w:cstheme="minorHAnsi"/>
          <w:sz w:val="24"/>
          <w:szCs w:val="24"/>
          <w:lang w:val="sq-AL"/>
        </w:rPr>
        <w:t>Bosnje dhe Hercegovinë nr. 3 Shkup, me veprimtari të regjistruar</w:t>
      </w:r>
      <w:r>
        <w:rPr>
          <w:rFonts w:eastAsia="Calibri" w:cstheme="minorHAnsi"/>
          <w:sz w:val="24"/>
          <w:szCs w:val="24"/>
          <w:lang w:val="sq-AL"/>
        </w:rPr>
        <w:t>-përfaqësues të sigurimit dhe ndërmjetësues të sigurimit:</w:t>
      </w:r>
    </w:p>
    <w:p w:rsidR="0033191E" w:rsidRDefault="0033191E" w:rsidP="0033191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Shoqëria për tregti dhe shërbime </w:t>
      </w:r>
      <w:r w:rsidR="003B33C5">
        <w:rPr>
          <w:rFonts w:eastAsia="Calibri" w:cstheme="minorHAnsi"/>
          <w:sz w:val="24"/>
          <w:szCs w:val="24"/>
          <w:lang w:val="sq-AL"/>
        </w:rPr>
        <w:t xml:space="preserve">SCANIA MACEDONIA SHPKNJP import-eksport </w:t>
      </w:r>
      <w:proofErr w:type="spellStart"/>
      <w:r w:rsidR="003B33C5">
        <w:rPr>
          <w:rFonts w:eastAsia="Calibri" w:cstheme="minorHAnsi"/>
          <w:sz w:val="24"/>
          <w:szCs w:val="24"/>
          <w:lang w:val="sq-AL"/>
        </w:rPr>
        <w:t>Ilinden</w:t>
      </w:r>
      <w:proofErr w:type="spellEnd"/>
      <w:r w:rsidR="003B33C5">
        <w:rPr>
          <w:rFonts w:eastAsia="Calibri" w:cstheme="minorHAnsi"/>
          <w:sz w:val="24"/>
          <w:szCs w:val="24"/>
          <w:lang w:val="sq-AL"/>
        </w:rPr>
        <w:t xml:space="preserve">, me seli të regjistruar në Rrugën 34 nr. 7. </w:t>
      </w:r>
      <w:proofErr w:type="spellStart"/>
      <w:r w:rsidR="003B33C5">
        <w:rPr>
          <w:rFonts w:eastAsia="Calibri" w:cstheme="minorHAnsi"/>
          <w:sz w:val="24"/>
          <w:szCs w:val="24"/>
          <w:lang w:val="sq-AL"/>
        </w:rPr>
        <w:t>Ilinden</w:t>
      </w:r>
      <w:proofErr w:type="spellEnd"/>
      <w:r w:rsidR="003B33C5">
        <w:rPr>
          <w:rFonts w:eastAsia="Calibri" w:cstheme="minorHAnsi"/>
          <w:sz w:val="24"/>
          <w:szCs w:val="24"/>
          <w:lang w:val="sq-AL"/>
        </w:rPr>
        <w:t>, Shkup, me veprimtari të regjistruar-tregti me mjete të tjera motorike: dhe</w:t>
      </w:r>
    </w:p>
    <w:p w:rsidR="003B33C5" w:rsidRDefault="003B33C5" w:rsidP="0033191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Shoqëria për tregti dhe shërbime PORSCHE MACEDONIA SHPKNJP Shkup, </w:t>
      </w:r>
      <w:r>
        <w:rPr>
          <w:rFonts w:eastAsia="Calibri" w:cstheme="minorHAnsi"/>
          <w:sz w:val="24"/>
          <w:szCs w:val="24"/>
          <w:lang w:val="sq-AL"/>
        </w:rPr>
        <w:t>me seli të</w:t>
      </w:r>
      <w:r>
        <w:rPr>
          <w:rFonts w:eastAsia="Calibri" w:cstheme="minorHAnsi"/>
          <w:sz w:val="24"/>
          <w:szCs w:val="24"/>
          <w:lang w:val="sq-AL"/>
        </w:rPr>
        <w:t xml:space="preserve"> regjistruar n</w:t>
      </w:r>
      <w:r>
        <w:rPr>
          <w:rFonts w:eastAsia="Calibri" w:cstheme="minorHAnsi"/>
          <w:sz w:val="24"/>
          <w:szCs w:val="24"/>
          <w:lang w:val="sq-AL"/>
        </w:rPr>
        <w:t xml:space="preserve">ë </w:t>
      </w:r>
      <w:proofErr w:type="spellStart"/>
      <w:r>
        <w:rPr>
          <w:rFonts w:eastAsia="Calibri" w:cstheme="minorHAnsi"/>
          <w:sz w:val="24"/>
          <w:szCs w:val="24"/>
          <w:lang w:val="sq-AL"/>
        </w:rPr>
        <w:t>bu</w:t>
      </w:r>
      <w:r>
        <w:rPr>
          <w:rFonts w:eastAsia="Calibri" w:cstheme="minorHAnsi"/>
          <w:sz w:val="24"/>
          <w:szCs w:val="24"/>
          <w:lang w:val="sq-AL"/>
        </w:rPr>
        <w:t>l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. Bosnje dhe Hercegovinë nr. 4 </w:t>
      </w:r>
      <w:r>
        <w:rPr>
          <w:rFonts w:eastAsia="Calibri" w:cstheme="minorHAnsi"/>
          <w:sz w:val="24"/>
          <w:szCs w:val="24"/>
          <w:lang w:val="sq-AL"/>
        </w:rPr>
        <w:t>Shkup, me veprimtari të regjistruar-</w:t>
      </w:r>
      <w:r>
        <w:rPr>
          <w:rFonts w:eastAsia="Calibri" w:cstheme="minorHAnsi"/>
          <w:sz w:val="24"/>
          <w:szCs w:val="24"/>
          <w:lang w:val="sq-AL"/>
        </w:rPr>
        <w:t xml:space="preserve"> me makina dhje mjete motorike të kategorisë së lehtë.</w:t>
      </w:r>
    </w:p>
    <w:p w:rsidR="003B33C5" w:rsidRDefault="003B33C5" w:rsidP="003B33C5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proofErr w:type="spellStart"/>
      <w:r>
        <w:rPr>
          <w:rFonts w:eastAsia="Calibri" w:cstheme="minorHAnsi"/>
          <w:sz w:val="24"/>
          <w:szCs w:val="24"/>
          <w:lang w:val="sq-AL"/>
        </w:rPr>
        <w:t>Fa</w:t>
      </w:r>
      <w:r w:rsidR="00F20268">
        <w:rPr>
          <w:rFonts w:eastAsia="Calibri" w:cstheme="minorHAnsi"/>
          <w:sz w:val="24"/>
          <w:szCs w:val="24"/>
          <w:lang w:val="sq-AL"/>
        </w:rPr>
        <w:t>c</w:t>
      </w:r>
      <w:r w:rsidRPr="003B33C5">
        <w:rPr>
          <w:rFonts w:eastAsia="Calibri" w:cstheme="minorHAnsi"/>
          <w:sz w:val="24"/>
          <w:szCs w:val="24"/>
          <w:lang w:val="sq-AL"/>
        </w:rPr>
        <w:t>ua</w:t>
      </w:r>
      <w:proofErr w:type="spellEnd"/>
      <w:r w:rsidRPr="003B33C5">
        <w:rPr>
          <w:rFonts w:eastAsia="Calibri" w:cstheme="minorHAnsi"/>
          <w:sz w:val="24"/>
          <w:szCs w:val="24"/>
          <w:lang w:val="sq-AL"/>
        </w:rPr>
        <w:t xml:space="preserve"> është një prodhues i sistemeve shtytëse për </w:t>
      </w:r>
      <w:r w:rsidR="00F20268">
        <w:rPr>
          <w:rFonts w:eastAsia="Calibri" w:cstheme="minorHAnsi"/>
          <w:sz w:val="24"/>
          <w:szCs w:val="24"/>
          <w:lang w:val="sq-AL"/>
        </w:rPr>
        <w:t>e-biçikletave, me fokus në tregun e-biçikletave</w:t>
      </w:r>
      <w:r w:rsidRPr="003B33C5">
        <w:rPr>
          <w:rFonts w:eastAsia="Calibri" w:cstheme="minorHAnsi"/>
          <w:sz w:val="24"/>
          <w:szCs w:val="24"/>
          <w:lang w:val="sq-AL"/>
        </w:rPr>
        <w:t xml:space="preserve"> të</w:t>
      </w:r>
      <w:r w:rsidR="00F20268">
        <w:rPr>
          <w:rFonts w:eastAsia="Calibri" w:cstheme="minorHAnsi"/>
          <w:sz w:val="24"/>
          <w:szCs w:val="24"/>
          <w:lang w:val="sq-AL"/>
        </w:rPr>
        <w:t xml:space="preserve"> lehta</w:t>
      </w:r>
      <w:r w:rsidRPr="003B33C5">
        <w:rPr>
          <w:rFonts w:eastAsia="Calibri" w:cstheme="minorHAnsi"/>
          <w:sz w:val="24"/>
          <w:szCs w:val="24"/>
          <w:lang w:val="sq-AL"/>
        </w:rPr>
        <w:t>.</w:t>
      </w:r>
    </w:p>
    <w:p w:rsidR="00F20268" w:rsidRDefault="00F20268" w:rsidP="003B33C5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proofErr w:type="spellStart"/>
      <w:r>
        <w:rPr>
          <w:rFonts w:eastAsia="Calibri" w:cstheme="minorHAnsi"/>
          <w:sz w:val="24"/>
          <w:szCs w:val="24"/>
          <w:lang w:val="sq-AL"/>
        </w:rPr>
        <w:t>Facua</w:t>
      </w:r>
      <w:proofErr w:type="spellEnd"/>
      <w:r>
        <w:rPr>
          <w:rFonts w:eastAsia="Calibri" w:cstheme="minorHAnsi"/>
          <w:sz w:val="24"/>
          <w:szCs w:val="24"/>
          <w:lang w:val="sq-AL"/>
        </w:rPr>
        <w:t xml:space="preserve"> nuk është aktive në Maqedoninë e Veriut dhe nuk ka shoqëri të varura të regjistruara në Maqedoninë e Veriut.</w:t>
      </w:r>
    </w:p>
    <w:p w:rsidR="00F20268" w:rsidRDefault="00F20268" w:rsidP="003B33C5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CD49A4">
        <w:rPr>
          <w:rFonts w:eastAsia="Calibri" w:cstheme="minorHAnsi"/>
          <w:sz w:val="24"/>
          <w:szCs w:val="24"/>
          <w:lang w:val="sq-AL"/>
        </w:rPr>
        <w:t>Komisioni konstatoi se përqendrimi i parashtruar bie nën dispozitat e Ligjit për Mbrojtjen e Konkurrencës, sepse i plotëson kushtet e nenit 12 paragrafi (1) pika 2) dhe nenit 14 paragrafi (1) pika 1 dhe pika 2)) të Ligjit për Mbrojtje të Konkurrencës.</w:t>
      </w: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CD49A4">
        <w:rPr>
          <w:rFonts w:eastAsia="Calibri" w:cstheme="minorHAnsi"/>
          <w:sz w:val="24"/>
          <w:szCs w:val="24"/>
          <w:lang w:val="sq-AL"/>
        </w:rPr>
        <w:t xml:space="preserve">Komisioni, duke marrë parasysh kriteret e nenit 17 paragrafi (2), paragrafi (3) dhe paragrafi (4) të Ligjit për mbrojtjen e konkurrencës dhe pikën 6 (b) të </w:t>
      </w:r>
      <w:r w:rsidRPr="00CD49A4">
        <w:rPr>
          <w:rFonts w:eastAsia="Calibri" w:cstheme="minorHAnsi"/>
          <w:i/>
          <w:sz w:val="24"/>
          <w:szCs w:val="24"/>
          <w:lang w:val="sq-AL"/>
        </w:rPr>
        <w:t xml:space="preserve">Udhëzimeve për përcaktimin e rasteve në të cilat gjatë vlerësimit të përqendrimeve, Komisioni për Mbrojtjen e Konkurrencës zakonisht përcakton se të njëjtat janë në përputhje me Ligjin për mbrojtjen e konkurrencës, </w:t>
      </w:r>
      <w:r w:rsidRPr="00CD49A4">
        <w:rPr>
          <w:rFonts w:eastAsia="Calibri" w:cstheme="minorHAnsi"/>
          <w:sz w:val="24"/>
          <w:szCs w:val="24"/>
          <w:lang w:val="sq-AL"/>
        </w:rPr>
        <w:t>vlerëson se përqendrimi i parashtruar, edhe pse bie nën dispozitat e Ligjit, është në përputhje me të, sepse nuk do ketë në masë të konsiderueshme pengimin, kufizimin ose prishjen e  konkurrencës efektive të tregut ose të pjesës qenësore të tij , veçanërisht si rezultat i krijimit ose forcimit të pozitës dominuese të pjesëmarrësve</w:t>
      </w: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CD49A4">
        <w:rPr>
          <w:rFonts w:eastAsia="Calibri" w:cstheme="minorHAnsi"/>
          <w:sz w:val="24"/>
          <w:szCs w:val="24"/>
          <w:lang w:val="sq-AL"/>
        </w:rPr>
        <w:t xml:space="preserve">Duke pasur parasysh këtë vlerësim të përqendrimit, Komisioni vendosi si në </w:t>
      </w:r>
      <w:proofErr w:type="spellStart"/>
      <w:r w:rsidRPr="00CD49A4">
        <w:rPr>
          <w:rFonts w:eastAsia="Calibri" w:cstheme="minorHAnsi"/>
          <w:sz w:val="24"/>
          <w:szCs w:val="24"/>
          <w:lang w:val="sq-AL"/>
        </w:rPr>
        <w:t>dispozitiv</w:t>
      </w:r>
      <w:proofErr w:type="spellEnd"/>
      <w:r w:rsidRPr="00CD49A4">
        <w:rPr>
          <w:rFonts w:eastAsia="Calibri" w:cstheme="minorHAnsi"/>
          <w:sz w:val="24"/>
          <w:szCs w:val="24"/>
          <w:lang w:val="sq-AL"/>
        </w:rPr>
        <w:t xml:space="preserve"> të këtij Aktvendimi, në përputhje me nenin 19 paragrafi (1) pika 2) të Ligjit për mbrojtjen e konkurrencës.</w:t>
      </w: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CD49A4">
        <w:rPr>
          <w:rFonts w:eastAsia="Calibri" w:cstheme="minorHAnsi"/>
          <w:sz w:val="24"/>
          <w:szCs w:val="24"/>
          <w:lang w:val="sq-AL"/>
        </w:rPr>
        <w:t xml:space="preserve">Sipas Nenit 53 paragrafi (2) të Ligjit për mbrojtjen e konkurrencës padia nuk e prolongon zbatimin e aktvendimit. </w:t>
      </w: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  <w:r>
        <w:rPr>
          <w:rFonts w:eastAsia="Calibri" w:cstheme="minorHAnsi"/>
          <w:b/>
          <w:sz w:val="24"/>
          <w:szCs w:val="24"/>
          <w:lang w:val="sq-AL"/>
        </w:rPr>
        <w:t>Këshillë j</w:t>
      </w:r>
      <w:bookmarkStart w:id="0" w:name="_GoBack"/>
      <w:bookmarkEnd w:id="0"/>
      <w:r>
        <w:rPr>
          <w:rFonts w:eastAsia="Calibri" w:cstheme="minorHAnsi"/>
          <w:b/>
          <w:sz w:val="24"/>
          <w:szCs w:val="24"/>
          <w:lang w:val="sq-AL"/>
        </w:rPr>
        <w:t>uridike</w:t>
      </w: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CD49A4">
        <w:rPr>
          <w:rFonts w:eastAsia="Calibri" w:cstheme="minorHAnsi"/>
          <w:sz w:val="24"/>
          <w:szCs w:val="24"/>
          <w:lang w:val="sq-AL"/>
        </w:rPr>
        <w:t>Kundër këtij aktvendimi mund të parashtrohet padi për inicim të kontestit  administrativ në Gjykatën Administrative të Republikës së Maqedonisë në afat prej 30 ditësh nga dita e dorëzimit të tij.</w:t>
      </w: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F20268" w:rsidRPr="00CD49A4" w:rsidRDefault="00F20268" w:rsidP="00F20268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F20268" w:rsidRPr="00CD49A4" w:rsidRDefault="00F20268" w:rsidP="00F20268">
      <w:pPr>
        <w:tabs>
          <w:tab w:val="left" w:pos="426"/>
        </w:tabs>
        <w:spacing w:after="0" w:line="276" w:lineRule="auto"/>
        <w:ind w:left="6480"/>
        <w:jc w:val="both"/>
        <w:rPr>
          <w:rFonts w:eastAsia="Times New Roman" w:cstheme="minorHAnsi"/>
          <w:b/>
          <w:sz w:val="24"/>
          <w:szCs w:val="24"/>
          <w:lang w:val="sq-AL"/>
        </w:rPr>
      </w:pPr>
      <w:r w:rsidRPr="00CD49A4">
        <w:rPr>
          <w:rFonts w:eastAsia="Times New Roman" w:cstheme="minorHAnsi"/>
          <w:sz w:val="24"/>
          <w:szCs w:val="24"/>
          <w:lang w:val="sq-AL"/>
        </w:rPr>
        <w:lastRenderedPageBreak/>
        <w:t xml:space="preserve">     </w:t>
      </w:r>
      <w:r w:rsidRPr="00CD49A4">
        <w:rPr>
          <w:rFonts w:eastAsia="Times New Roman" w:cstheme="minorHAnsi"/>
          <w:b/>
          <w:sz w:val="24"/>
          <w:szCs w:val="24"/>
          <w:lang w:val="sq-AL"/>
        </w:rPr>
        <w:t xml:space="preserve">KRYETAR </w:t>
      </w:r>
    </w:p>
    <w:p w:rsidR="00F20268" w:rsidRPr="00CD49A4" w:rsidRDefault="00F20268" w:rsidP="00F20268">
      <w:pPr>
        <w:tabs>
          <w:tab w:val="left" w:pos="426"/>
        </w:tabs>
        <w:spacing w:after="0" w:line="276" w:lineRule="auto"/>
        <w:jc w:val="right"/>
        <w:rPr>
          <w:rFonts w:eastAsia="Times New Roman" w:cstheme="minorHAnsi"/>
          <w:b/>
          <w:sz w:val="24"/>
          <w:szCs w:val="24"/>
          <w:lang w:val="sq-AL"/>
        </w:rPr>
      </w:pPr>
      <w:r w:rsidRPr="00CD49A4">
        <w:rPr>
          <w:rFonts w:eastAsia="Times New Roman" w:cstheme="minorHAnsi"/>
          <w:b/>
          <w:sz w:val="24"/>
          <w:szCs w:val="24"/>
          <w:lang w:val="sq-AL"/>
        </w:rPr>
        <w:t>I KOMISIONIT PËR MBROJTJEN E KONKURRENCËS</w:t>
      </w:r>
    </w:p>
    <w:p w:rsidR="00F20268" w:rsidRPr="00CD49A4" w:rsidRDefault="00F20268" w:rsidP="00F20268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val="sq-AL"/>
        </w:rPr>
      </w:pPr>
      <w:r w:rsidRPr="00CD49A4">
        <w:rPr>
          <w:rFonts w:eastAsia="Times New Roman" w:cstheme="minorHAnsi"/>
          <w:b/>
          <w:sz w:val="24"/>
          <w:szCs w:val="24"/>
          <w:lang w:val="sq-AL"/>
        </w:rPr>
        <w:t xml:space="preserve">                                                                                         </w:t>
      </w:r>
      <w:r w:rsidRPr="00CD49A4">
        <w:rPr>
          <w:rFonts w:cstheme="minorHAnsi"/>
          <w:b/>
          <w:sz w:val="24"/>
          <w:szCs w:val="24"/>
          <w:lang w:val="sq-AL"/>
        </w:rPr>
        <w:t xml:space="preserve">Prof. Dr. </w:t>
      </w:r>
      <w:r w:rsidRPr="00CD49A4">
        <w:rPr>
          <w:rFonts w:cstheme="minorHAnsi"/>
          <w:b/>
          <w:sz w:val="24"/>
          <w:szCs w:val="24"/>
          <w:lang w:val="mk-MK"/>
        </w:rPr>
        <w:t>Владимир Наумовски</w:t>
      </w:r>
    </w:p>
    <w:p w:rsidR="00F20268" w:rsidRPr="003B33C5" w:rsidRDefault="00F20268" w:rsidP="003B33C5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481E41" w:rsidRPr="0012478F" w:rsidRDefault="00481E41">
      <w:pPr>
        <w:rPr>
          <w:lang w:val="sq-AL"/>
        </w:rPr>
      </w:pPr>
    </w:p>
    <w:sectPr w:rsidR="00481E41" w:rsidRPr="0012478F" w:rsidSect="006362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F26"/>
    <w:multiLevelType w:val="hybridMultilevel"/>
    <w:tmpl w:val="887A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8F"/>
    <w:rsid w:val="0012478F"/>
    <w:rsid w:val="00217D2E"/>
    <w:rsid w:val="00221C6D"/>
    <w:rsid w:val="0033191E"/>
    <w:rsid w:val="00351C99"/>
    <w:rsid w:val="003B33C5"/>
    <w:rsid w:val="00425200"/>
    <w:rsid w:val="00481E41"/>
    <w:rsid w:val="006362F0"/>
    <w:rsid w:val="00883485"/>
    <w:rsid w:val="00955D78"/>
    <w:rsid w:val="00AA3B13"/>
    <w:rsid w:val="00D9496B"/>
    <w:rsid w:val="00F20268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7227F-4F19-428F-9A42-D506C0AE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B088-79DD-4971-8742-41B595C9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Elmazi</dc:creator>
  <cp:keywords/>
  <dc:description/>
  <cp:lastModifiedBy>Driton Elmazi</cp:lastModifiedBy>
  <cp:revision>8</cp:revision>
  <dcterms:created xsi:type="dcterms:W3CDTF">2022-05-12T08:12:00Z</dcterms:created>
  <dcterms:modified xsi:type="dcterms:W3CDTF">2022-05-12T12:14:00Z</dcterms:modified>
</cp:coreProperties>
</file>