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D3" w:rsidRPr="00A11163" w:rsidRDefault="00EE11D3" w:rsidP="00EE11D3">
      <w:pPr>
        <w:spacing w:after="0" w:line="276" w:lineRule="auto"/>
        <w:jc w:val="right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>Pa. nr. 08-51/2022</w:t>
      </w:r>
    </w:p>
    <w:p w:rsidR="00EE11D3" w:rsidRPr="00A11163" w:rsidRDefault="00EE11D3" w:rsidP="00EE11D3">
      <w:pPr>
        <w:spacing w:after="0" w:line="276" w:lineRule="auto"/>
        <w:jc w:val="right"/>
        <w:rPr>
          <w:rFonts w:eastAsia="Calibri" w:cstheme="minorHAnsi"/>
          <w:sz w:val="24"/>
          <w:szCs w:val="24"/>
          <w:lang w:val="sq-AL"/>
        </w:rPr>
      </w:pPr>
    </w:p>
    <w:p w:rsidR="00EE11D3" w:rsidRPr="00A11163" w:rsidRDefault="00EE11D3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 xml:space="preserve">Komisioni për Mbrojtjen e Konkurrencës në bazë  të nenit 28 dhe nenit 19 paragrafi (1) pika 2) të Ligjit për Mbrojtjen e Konkurrencës ("Gazeta Zyrtare e Republikës së Maqedonisë" nr. 145/10, 136/11, 41/2014, 41/2014, 53/16 dhe 83/18), si dhe duke vepruar sipas njoftimit për përqendrim të parashtruar  nga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Neo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Games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S.A., me seli të regjistruar në rr.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Merl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2146 Luksemburg , , përmes Shoqërisë së Avokatëve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Georgievski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 nga Shkupi,  në seancën e mbajtur më 26.05.2022, merr këtë:</w:t>
      </w:r>
    </w:p>
    <w:p w:rsidR="00EE11D3" w:rsidRPr="00A11163" w:rsidRDefault="00EE11D3" w:rsidP="00EE11D3">
      <w:pPr>
        <w:spacing w:after="0" w:line="276" w:lineRule="auto"/>
        <w:jc w:val="center"/>
        <w:rPr>
          <w:rFonts w:eastAsia="Calibri" w:cstheme="minorHAnsi"/>
          <w:sz w:val="24"/>
          <w:szCs w:val="24"/>
          <w:lang w:val="sq-AL"/>
        </w:rPr>
      </w:pPr>
    </w:p>
    <w:p w:rsidR="00EE11D3" w:rsidRPr="00A11163" w:rsidRDefault="00EE11D3" w:rsidP="00EE11D3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A11163">
        <w:rPr>
          <w:rFonts w:eastAsia="Calibri" w:cstheme="minorHAnsi"/>
          <w:b/>
          <w:sz w:val="24"/>
          <w:szCs w:val="24"/>
          <w:lang w:val="sq-AL"/>
        </w:rPr>
        <w:t xml:space="preserve">AKTVENDIM </w:t>
      </w:r>
    </w:p>
    <w:p w:rsidR="00EE11D3" w:rsidRPr="00A11163" w:rsidRDefault="00EE11D3" w:rsidP="00EE11D3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sq-AL"/>
        </w:rPr>
      </w:pPr>
    </w:p>
    <w:p w:rsidR="00EE11D3" w:rsidRPr="00A11163" w:rsidRDefault="00EE11D3" w:rsidP="00EE11D3">
      <w:pPr>
        <w:spacing w:after="12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 xml:space="preserve">Vërtetohet  se përqendrimi me të cilin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Neo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Games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S.A., me seli në rr.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Merl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2146 Luksemburg, fiton kontroll të drejtpërdrejtë të pavarur mbi shoqërinë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Aspajr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Global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Plc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>. (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Aspire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Global PLC.), me seli ne nivelin G, zyra 1/5086,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Kvantum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Haus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rr.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Abate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Rigor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TA' XBIEX Xbx1120 MALTA, me anë të blerjes së aksioneve, </w:t>
      </w:r>
      <w:r w:rsidRPr="00A11163">
        <w:rPr>
          <w:rFonts w:ascii="Calibri" w:hAnsi="Calibri" w:cs="Calibri"/>
          <w:sz w:val="24"/>
          <w:szCs w:val="24"/>
          <w:lang w:val="sq-AL"/>
        </w:rPr>
        <w:t xml:space="preserve">edhe pse është në kuadër të dispozitave të Ligjit për mbrojtjen e konkurrencës, nuk do të ketë  për pasojë parandalimin, kufizimin ose çrregullimin  e konsiderueshëm të konkurrencës efektive të tregut ose pjesës së tij thelbësore, sidomos si rezultat i formimit apo forcimit të pozitës dominuese të pjesëmarrësve dhe si i tillë </w:t>
      </w:r>
      <w:r w:rsidRPr="00A11163">
        <w:rPr>
          <w:rFonts w:ascii="Calibri" w:hAnsi="Calibri" w:cs="Calibri"/>
          <w:b/>
          <w:sz w:val="24"/>
          <w:szCs w:val="24"/>
          <w:lang w:val="sq-AL"/>
        </w:rPr>
        <w:t>është në përputhje me dispozitat e Ligjit të mbrojtjes së konkurrencës në kuptim të nenit 19 paragrafi (1) pika 2) të Ligjit për mbrojtjen e konkurrencës.</w:t>
      </w:r>
    </w:p>
    <w:p w:rsidR="00EE11D3" w:rsidRPr="00A11163" w:rsidRDefault="00EE11D3" w:rsidP="00EE11D3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</w:p>
    <w:p w:rsidR="00EE11D3" w:rsidRPr="00A11163" w:rsidRDefault="00EE11D3" w:rsidP="00EE11D3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</w:p>
    <w:p w:rsidR="00EE11D3" w:rsidRPr="00A11163" w:rsidRDefault="00EE11D3" w:rsidP="00EE11D3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  <w:r w:rsidRPr="00A11163">
        <w:rPr>
          <w:rFonts w:ascii="Calibri" w:hAnsi="Calibri" w:cs="Calibri"/>
          <w:sz w:val="24"/>
          <w:szCs w:val="24"/>
          <w:lang w:val="sq-AL"/>
        </w:rPr>
        <w:t xml:space="preserve"> Parashtruesi i njoftimit për përqendrim obligohet që për njoftimin për përqendrim të paguaj  taksë administrative në shumë prej </w:t>
      </w:r>
      <w:r w:rsidRPr="00A11163">
        <w:rPr>
          <w:rFonts w:ascii="Calibri" w:eastAsia="Times New Roman" w:hAnsi="Calibri" w:cs="Calibri"/>
          <w:sz w:val="24"/>
          <w:szCs w:val="24"/>
          <w:lang w:val="sq-AL"/>
        </w:rPr>
        <w:t xml:space="preserve">6.000,оо </w:t>
      </w:r>
      <w:proofErr w:type="spellStart"/>
      <w:r w:rsidRPr="00A11163">
        <w:rPr>
          <w:rFonts w:ascii="Calibri" w:hAnsi="Calibri" w:cs="Calibri"/>
          <w:sz w:val="24"/>
          <w:szCs w:val="24"/>
          <w:lang w:val="sq-AL"/>
        </w:rPr>
        <w:t>denarë</w:t>
      </w:r>
      <w:proofErr w:type="spellEnd"/>
      <w:r w:rsidRPr="00A11163">
        <w:rPr>
          <w:rFonts w:ascii="Calibri" w:hAnsi="Calibri" w:cs="Calibri"/>
          <w:sz w:val="24"/>
          <w:szCs w:val="24"/>
          <w:lang w:val="sq-AL"/>
        </w:rPr>
        <w:t xml:space="preserve">. dhe për aktvendimin në shumën prej </w:t>
      </w:r>
      <w:r w:rsidRPr="00A11163">
        <w:rPr>
          <w:rFonts w:ascii="Calibri" w:eastAsia="Times New Roman" w:hAnsi="Calibri" w:cs="Calibri"/>
          <w:sz w:val="24"/>
          <w:szCs w:val="24"/>
          <w:lang w:val="sq-AL"/>
        </w:rPr>
        <w:t xml:space="preserve">30.000,оо </w:t>
      </w:r>
      <w:proofErr w:type="spellStart"/>
      <w:r w:rsidRPr="00A11163">
        <w:rPr>
          <w:rFonts w:ascii="Calibri" w:hAnsi="Calibri" w:cs="Calibri"/>
          <w:sz w:val="24"/>
          <w:szCs w:val="24"/>
          <w:lang w:val="sq-AL"/>
        </w:rPr>
        <w:t>denarë</w:t>
      </w:r>
      <w:proofErr w:type="spellEnd"/>
      <w:r w:rsidRPr="00A11163">
        <w:rPr>
          <w:rFonts w:ascii="Calibri" w:hAnsi="Calibri" w:cs="Calibri"/>
          <w:sz w:val="24"/>
          <w:szCs w:val="24"/>
          <w:lang w:val="sq-AL"/>
        </w:rPr>
        <w:t>, sipas numrit tarifor 34 të Ligjit për taksa administrative ( Gazeta zyrtare e Republikës së Maqedonisë nr. 17/93, 20/96, 7/98, 13/01, 24/03, 19/04, 61/04 dhe 95/05, 7/06, 70/06, 92/07, 88/08, 130/08, 6/10, 145/10. 17/11) në llogarinë e Buxhetit të Republikës së Maqedonisë së Veriut nr. 100000000063095, llogarinë e pagesës 840…..03161, shifrën e  të ardhurave dhe programin 72231300.</w:t>
      </w:r>
    </w:p>
    <w:p w:rsidR="00EE11D3" w:rsidRPr="00A11163" w:rsidRDefault="00EE11D3" w:rsidP="00EE11D3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</w:p>
    <w:p w:rsidR="00EE11D3" w:rsidRPr="00A11163" w:rsidRDefault="00EE11D3" w:rsidP="00EE11D3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  <w:lang w:val="sq-AL"/>
        </w:rPr>
      </w:pPr>
      <w:r w:rsidRPr="00A11163">
        <w:rPr>
          <w:rFonts w:ascii="Calibri" w:hAnsi="Calibri" w:cs="Calibri"/>
          <w:sz w:val="24"/>
          <w:szCs w:val="24"/>
          <w:lang w:val="sq-AL"/>
        </w:rPr>
        <w:t xml:space="preserve"> Padia për ngritjen e kontestit administrativ nuk e prolongon përmbarimin e aktvendimit.</w:t>
      </w:r>
    </w:p>
    <w:p w:rsidR="00EE11D3" w:rsidRPr="00A11163" w:rsidRDefault="00EE11D3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EE11D3" w:rsidRPr="00A11163" w:rsidRDefault="00EE11D3" w:rsidP="00EE11D3">
      <w:pPr>
        <w:jc w:val="center"/>
        <w:rPr>
          <w:rFonts w:eastAsia="Calibri" w:cstheme="minorHAnsi"/>
          <w:b/>
          <w:sz w:val="24"/>
          <w:szCs w:val="24"/>
          <w:lang w:val="sq-AL"/>
        </w:rPr>
      </w:pPr>
      <w:r w:rsidRPr="00A11163">
        <w:rPr>
          <w:rFonts w:eastAsia="Calibri" w:cstheme="minorHAnsi"/>
          <w:b/>
          <w:sz w:val="24"/>
          <w:szCs w:val="24"/>
          <w:lang w:val="sq-AL"/>
        </w:rPr>
        <w:t xml:space="preserve">Arsyetim </w:t>
      </w:r>
    </w:p>
    <w:p w:rsidR="00EE11D3" w:rsidRPr="00A11163" w:rsidRDefault="00EE11D3" w:rsidP="00EE11D3">
      <w:pPr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EE11D3" w:rsidRPr="00A11163" w:rsidRDefault="00EE11D3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>Në përputhje të nenit 15 të Ligjit për Mbrojtjen e Konkurrencës, më 04.05.2022, deri te Komisioni për Mbrojtjen e Konkurrencës (në tekstin e mëtejmë: Komisioni) u dorëzua  një  njoftim për përqendrim nga</w:t>
      </w:r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Neo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Games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S.A., me seli në rr.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Merl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2146 Luksemburg, ku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Neo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Games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S.A. Luksemburg  fiton kontroll të drejtpërdrejtë të pavarur mbi shoqërinë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Aspajr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Global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Plc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>. (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Aspire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Global PLC.), me seli ne nivelin G, zyra 1/5086,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Kvantum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Haus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rr.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Abate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="0054068D" w:rsidRPr="00A11163">
        <w:rPr>
          <w:rFonts w:eastAsia="Calibri" w:cstheme="minorHAnsi"/>
          <w:sz w:val="24"/>
          <w:szCs w:val="24"/>
          <w:lang w:val="sq-AL"/>
        </w:rPr>
        <w:t>Rigor</w:t>
      </w:r>
      <w:proofErr w:type="spellEnd"/>
      <w:r w:rsidR="0054068D" w:rsidRPr="00A11163">
        <w:rPr>
          <w:rFonts w:eastAsia="Calibri" w:cstheme="minorHAnsi"/>
          <w:sz w:val="24"/>
          <w:szCs w:val="24"/>
          <w:lang w:val="sq-AL"/>
        </w:rPr>
        <w:t xml:space="preserve"> TA' XBIEX Xbx1120 MALTA, me anë të blerjes së aksioneve.</w:t>
      </w:r>
    </w:p>
    <w:p w:rsidR="0054068D" w:rsidRPr="00A11163" w:rsidRDefault="0054068D" w:rsidP="0054068D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lastRenderedPageBreak/>
        <w:t>Komisioni filloi shqyrtimin e Njoftimit nga dita e pranimit të tij dhe në bazën e të dhënave të paraqitura në Njoftimin për përqendrim ,  shtojcat dhe anekset e tyre, konstatoi si në vijim:</w:t>
      </w:r>
    </w:p>
    <w:p w:rsidR="0054068D" w:rsidRPr="00A11163" w:rsidRDefault="0054068D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54068D" w:rsidRPr="00A11163" w:rsidRDefault="0054068D" w:rsidP="0054068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11163">
        <w:rPr>
          <w:rFonts w:eastAsia="Calibri" w:cstheme="minorHAnsi"/>
          <w:b/>
          <w:sz w:val="24"/>
          <w:szCs w:val="24"/>
          <w:lang w:val="sq-AL"/>
        </w:rPr>
        <w:t>Aktivitetet themelore të biznesit të ndërmarrjeve të përfshira:</w:t>
      </w:r>
    </w:p>
    <w:p w:rsidR="0054068D" w:rsidRPr="00A11163" w:rsidRDefault="0054068D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54068D" w:rsidRPr="00A11163" w:rsidRDefault="0054068D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Neo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Games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S.A. është një shoqëri  tregtare publike.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NeoGames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S.A. është një ofrues global i zgjidhjeve për </w:t>
      </w:r>
      <w:r w:rsidR="00F013C1" w:rsidRPr="00A11163">
        <w:rPr>
          <w:rFonts w:eastAsia="Calibri" w:cstheme="minorHAnsi"/>
          <w:sz w:val="24"/>
          <w:szCs w:val="24"/>
          <w:lang w:val="sq-AL"/>
        </w:rPr>
        <w:t>lojërat</w:t>
      </w:r>
      <w:r w:rsidRPr="00A11163">
        <w:rPr>
          <w:rFonts w:eastAsia="Calibri" w:cstheme="minorHAnsi"/>
          <w:sz w:val="24"/>
          <w:szCs w:val="24"/>
          <w:lang w:val="sq-AL"/>
        </w:rPr>
        <w:t xml:space="preserve"> e fatit në internet  ("</w:t>
      </w:r>
      <w:r w:rsidR="00F013C1" w:rsidRPr="00A11163">
        <w:rPr>
          <w:rFonts w:eastAsia="Calibri" w:cstheme="minorHAnsi"/>
          <w:sz w:val="24"/>
          <w:szCs w:val="24"/>
          <w:lang w:val="sq-AL"/>
        </w:rPr>
        <w:t>lojërat e fatit në internet</w:t>
      </w:r>
      <w:r w:rsidRPr="00A11163">
        <w:rPr>
          <w:rFonts w:eastAsia="Calibri" w:cstheme="minorHAnsi"/>
          <w:sz w:val="24"/>
          <w:szCs w:val="24"/>
          <w:lang w:val="sq-AL"/>
        </w:rPr>
        <w:t xml:space="preserve">") për </w:t>
      </w:r>
      <w:r w:rsidR="00F013C1" w:rsidRPr="00A11163">
        <w:rPr>
          <w:rFonts w:eastAsia="Calibri" w:cstheme="minorHAnsi"/>
          <w:sz w:val="24"/>
          <w:szCs w:val="24"/>
          <w:lang w:val="sq-AL"/>
        </w:rPr>
        <w:t>lotaritë</w:t>
      </w:r>
      <w:r w:rsidRPr="00A11163">
        <w:rPr>
          <w:rFonts w:eastAsia="Calibri" w:cstheme="minorHAnsi"/>
          <w:sz w:val="24"/>
          <w:szCs w:val="24"/>
          <w:lang w:val="sq-AL"/>
        </w:rPr>
        <w:t xml:space="preserve"> kombëtare dhe të rregulluara nga shteti.</w:t>
      </w:r>
      <w:r w:rsidR="00F013C1" w:rsidRPr="00A11163">
        <w:rPr>
          <w:rFonts w:eastAsia="Calibri" w:cstheme="minorHAnsi"/>
          <w:sz w:val="24"/>
          <w:szCs w:val="24"/>
          <w:lang w:val="sq-AL"/>
        </w:rPr>
        <w:t xml:space="preserve"> Zgjidhja për shërbimin e plotë të </w:t>
      </w:r>
      <w:proofErr w:type="spellStart"/>
      <w:r w:rsidR="00F013C1" w:rsidRPr="00A11163">
        <w:rPr>
          <w:rFonts w:eastAsia="Calibri" w:cstheme="minorHAnsi"/>
          <w:sz w:val="24"/>
          <w:szCs w:val="24"/>
          <w:lang w:val="sq-AL"/>
        </w:rPr>
        <w:t>NeoGames</w:t>
      </w:r>
      <w:proofErr w:type="spellEnd"/>
      <w:r w:rsidR="00F013C1" w:rsidRPr="00A11163">
        <w:rPr>
          <w:rFonts w:eastAsia="Calibri" w:cstheme="minorHAnsi"/>
          <w:sz w:val="24"/>
          <w:szCs w:val="24"/>
          <w:lang w:val="sq-AL"/>
        </w:rPr>
        <w:t xml:space="preserve"> S.A. kombinon platformat dhe shërbimet e patentuar teknologjike me përvojën dhe ekspertizën e nevojshme për të menaxhuar operacionet e suksesshme të lojërave të fatit në internet.</w:t>
      </w:r>
    </w:p>
    <w:p w:rsidR="00F013C1" w:rsidRPr="00A11163" w:rsidRDefault="00F013C1" w:rsidP="00EE11D3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 xml:space="preserve">Studio e lojërave të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NeoGames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S.A. përfshin një portofol të gjerë lojërash lotarie në internet që tërheqin vëmendjen dhe ofrojnë një përvojë tërheqëse për lojtarët dhe vlerë të konsiderueshme për klientët e lotarisë.</w:t>
      </w:r>
    </w:p>
    <w:p w:rsidR="009B501C" w:rsidRPr="00A11163" w:rsidRDefault="00823775">
      <w:pPr>
        <w:rPr>
          <w:sz w:val="24"/>
          <w:szCs w:val="24"/>
          <w:lang w:val="sq-AL"/>
        </w:rPr>
      </w:pPr>
      <w:r w:rsidRPr="00A11163">
        <w:rPr>
          <w:sz w:val="24"/>
          <w:szCs w:val="24"/>
          <w:lang w:val="sq-AL"/>
        </w:rPr>
        <w:t>Si një partner i besueshëm</w:t>
      </w:r>
      <w:r w:rsidR="001F5703" w:rsidRPr="00A11163">
        <w:rPr>
          <w:sz w:val="24"/>
          <w:szCs w:val="24"/>
          <w:lang w:val="sq-AL"/>
        </w:rPr>
        <w:t xml:space="preserve"> i lotarive në mbarë botën, </w:t>
      </w:r>
      <w:proofErr w:type="spellStart"/>
      <w:r w:rsidR="001F5703" w:rsidRPr="00A11163">
        <w:rPr>
          <w:sz w:val="24"/>
          <w:szCs w:val="24"/>
          <w:lang w:val="sq-AL"/>
        </w:rPr>
        <w:t>NeoGames</w:t>
      </w:r>
      <w:proofErr w:type="spellEnd"/>
      <w:r w:rsidR="001F5703" w:rsidRPr="00A11163">
        <w:rPr>
          <w:sz w:val="24"/>
          <w:szCs w:val="24"/>
          <w:lang w:val="sq-AL"/>
        </w:rPr>
        <w:t xml:space="preserve"> S.A. punon me klientët e saj për të maksimizuar suksesin e tyre duke ofruar një zgjidhje gjithëpërfshirëse që u mundëson atyre të ofrojnë program</w:t>
      </w:r>
      <w:r w:rsidRPr="00A11163">
        <w:rPr>
          <w:sz w:val="24"/>
          <w:szCs w:val="24"/>
          <w:lang w:val="sq-AL"/>
        </w:rPr>
        <w:t xml:space="preserve">e të këndshme dhe fitimprurëse </w:t>
      </w:r>
      <w:r w:rsidRPr="00A11163">
        <w:rPr>
          <w:lang w:val="sq-AL"/>
        </w:rPr>
        <w:t xml:space="preserve"> </w:t>
      </w:r>
      <w:r w:rsidRPr="00A11163">
        <w:rPr>
          <w:sz w:val="24"/>
          <w:szCs w:val="24"/>
          <w:lang w:val="sq-AL"/>
        </w:rPr>
        <w:t xml:space="preserve">për lojërat e fatit në internet për lojtarët e saj, për të </w:t>
      </w:r>
      <w:proofErr w:type="spellStart"/>
      <w:r w:rsidRPr="00A11163">
        <w:rPr>
          <w:sz w:val="24"/>
          <w:szCs w:val="24"/>
          <w:lang w:val="sq-AL"/>
        </w:rPr>
        <w:t>gjeneruar</w:t>
      </w:r>
      <w:proofErr w:type="spellEnd"/>
      <w:r w:rsidRPr="00A11163">
        <w:rPr>
          <w:sz w:val="24"/>
          <w:szCs w:val="24"/>
          <w:lang w:val="sq-AL"/>
        </w:rPr>
        <w:t xml:space="preserve"> më shumë të ardhura dhe për t'i drejtuar të ardhurat për qëllime të mira.</w:t>
      </w:r>
    </w:p>
    <w:p w:rsidR="00823775" w:rsidRPr="00A11163" w:rsidRDefault="00823775">
      <w:pPr>
        <w:rPr>
          <w:sz w:val="24"/>
          <w:szCs w:val="24"/>
          <w:lang w:val="sq-AL"/>
        </w:rPr>
      </w:pPr>
      <w:proofErr w:type="spellStart"/>
      <w:r w:rsidRPr="00A11163">
        <w:rPr>
          <w:sz w:val="24"/>
          <w:szCs w:val="24"/>
          <w:lang w:val="sq-AL"/>
        </w:rPr>
        <w:t>NeoGames</w:t>
      </w:r>
      <w:proofErr w:type="spellEnd"/>
      <w:r w:rsidRPr="00A11163">
        <w:rPr>
          <w:sz w:val="24"/>
          <w:szCs w:val="24"/>
          <w:lang w:val="sq-AL"/>
        </w:rPr>
        <w:t xml:space="preserve"> S.A. nuk është aktive në Maqedoninë e Veriut.</w:t>
      </w:r>
    </w:p>
    <w:p w:rsidR="00823775" w:rsidRPr="00A11163" w:rsidRDefault="00823775">
      <w:pPr>
        <w:rPr>
          <w:sz w:val="24"/>
          <w:szCs w:val="24"/>
          <w:lang w:val="sq-AL"/>
        </w:rPr>
      </w:pPr>
      <w:proofErr w:type="spellStart"/>
      <w:r w:rsidRPr="00A11163">
        <w:rPr>
          <w:sz w:val="24"/>
          <w:szCs w:val="24"/>
          <w:lang w:val="sq-AL"/>
        </w:rPr>
        <w:t>Aspire</w:t>
      </w:r>
      <w:proofErr w:type="spellEnd"/>
      <w:r w:rsidRPr="00A11163">
        <w:rPr>
          <w:sz w:val="24"/>
          <w:szCs w:val="24"/>
          <w:lang w:val="sq-AL"/>
        </w:rPr>
        <w:t xml:space="preserve"> Global </w:t>
      </w:r>
      <w:proofErr w:type="spellStart"/>
      <w:r w:rsidRPr="00A11163">
        <w:rPr>
          <w:sz w:val="24"/>
          <w:szCs w:val="24"/>
          <w:lang w:val="sq-AL"/>
        </w:rPr>
        <w:t>Plc</w:t>
      </w:r>
      <w:proofErr w:type="spellEnd"/>
      <w:r w:rsidRPr="00A11163">
        <w:rPr>
          <w:sz w:val="24"/>
          <w:szCs w:val="24"/>
          <w:lang w:val="sq-AL"/>
        </w:rPr>
        <w:t xml:space="preserve">. është një ofrues kryesor B2B i zgjidhjeve </w:t>
      </w:r>
      <w:proofErr w:type="spellStart"/>
      <w:r w:rsidRPr="00A11163">
        <w:rPr>
          <w:sz w:val="24"/>
          <w:szCs w:val="24"/>
          <w:lang w:val="sq-AL"/>
        </w:rPr>
        <w:t>eGaming</w:t>
      </w:r>
      <w:proofErr w:type="spellEnd"/>
      <w:r w:rsidRPr="00A11163">
        <w:rPr>
          <w:sz w:val="24"/>
          <w:szCs w:val="24"/>
          <w:lang w:val="sq-AL"/>
        </w:rPr>
        <w:t xml:space="preserve">, duke u ofruar kompanive gjithçka që u nevojitet për të pasur një markë të suksesshme </w:t>
      </w:r>
      <w:proofErr w:type="spellStart"/>
      <w:r w:rsidRPr="00A11163">
        <w:rPr>
          <w:sz w:val="24"/>
          <w:szCs w:val="24"/>
          <w:lang w:val="sq-AL"/>
        </w:rPr>
        <w:t>iGaming</w:t>
      </w:r>
      <w:proofErr w:type="spellEnd"/>
      <w:r w:rsidRPr="00A11163">
        <w:rPr>
          <w:sz w:val="24"/>
          <w:szCs w:val="24"/>
          <w:lang w:val="sq-AL"/>
        </w:rPr>
        <w:t>, duke mbuluar kazinotë dhe sportet.</w:t>
      </w:r>
      <w:r w:rsidR="004A2A02" w:rsidRPr="00A11163">
        <w:rPr>
          <w:sz w:val="24"/>
          <w:szCs w:val="24"/>
          <w:lang w:val="sq-AL"/>
        </w:rPr>
        <w:t xml:space="preserve"> Oferta B2B e </w:t>
      </w:r>
      <w:proofErr w:type="spellStart"/>
      <w:r w:rsidR="004A2A02" w:rsidRPr="00A11163">
        <w:rPr>
          <w:sz w:val="24"/>
          <w:szCs w:val="24"/>
          <w:lang w:val="sq-AL"/>
        </w:rPr>
        <w:t>Aspire</w:t>
      </w:r>
      <w:proofErr w:type="spellEnd"/>
      <w:r w:rsidR="004A2A02" w:rsidRPr="00A11163">
        <w:rPr>
          <w:sz w:val="24"/>
          <w:szCs w:val="24"/>
          <w:lang w:val="sq-AL"/>
        </w:rPr>
        <w:t xml:space="preserve"> Global </w:t>
      </w:r>
      <w:proofErr w:type="spellStart"/>
      <w:r w:rsidR="004A2A02" w:rsidRPr="00A11163">
        <w:rPr>
          <w:sz w:val="24"/>
          <w:szCs w:val="24"/>
          <w:lang w:val="sq-AL"/>
        </w:rPr>
        <w:t>Plc</w:t>
      </w:r>
      <w:proofErr w:type="spellEnd"/>
      <w:r w:rsidR="004A2A02" w:rsidRPr="00A11163">
        <w:rPr>
          <w:sz w:val="24"/>
          <w:szCs w:val="24"/>
          <w:lang w:val="sq-AL"/>
        </w:rPr>
        <w:t xml:space="preserve">. përbëhet nga një platformë teknike, lojëra të patentuar të kazinosë , baste sportive të patentuar, grumbullues i lojërave dhe shërbimeve të menaxhuara. </w:t>
      </w:r>
      <w:proofErr w:type="spellStart"/>
      <w:r w:rsidR="004A2A02" w:rsidRPr="00A11163">
        <w:rPr>
          <w:sz w:val="24"/>
          <w:szCs w:val="24"/>
          <w:lang w:val="sq-AL"/>
        </w:rPr>
        <w:t>Aspire</w:t>
      </w:r>
      <w:proofErr w:type="spellEnd"/>
      <w:r w:rsidR="004A2A02" w:rsidRPr="00A11163">
        <w:rPr>
          <w:sz w:val="24"/>
          <w:szCs w:val="24"/>
          <w:lang w:val="sq-AL"/>
        </w:rPr>
        <w:t xml:space="preserve"> Global </w:t>
      </w:r>
      <w:proofErr w:type="spellStart"/>
      <w:r w:rsidR="004A2A02" w:rsidRPr="00A11163">
        <w:rPr>
          <w:sz w:val="24"/>
          <w:szCs w:val="24"/>
          <w:lang w:val="sq-AL"/>
        </w:rPr>
        <w:t>Plc</w:t>
      </w:r>
      <w:proofErr w:type="spellEnd"/>
      <w:r w:rsidR="004A2A02" w:rsidRPr="00A11163">
        <w:rPr>
          <w:sz w:val="24"/>
          <w:szCs w:val="24"/>
          <w:lang w:val="sq-AL"/>
        </w:rPr>
        <w:t xml:space="preserve">. shpërndan gjithashtu lojëra të palëve të treta dhe lojëra pronësore për partnerë të jashtëm, përmes blerjes së grumbulluesit të lojërave dhe studios </w:t>
      </w:r>
      <w:proofErr w:type="spellStart"/>
      <w:r w:rsidR="004A2A02" w:rsidRPr="00A11163">
        <w:rPr>
          <w:sz w:val="24"/>
          <w:szCs w:val="24"/>
          <w:lang w:val="sq-AL"/>
        </w:rPr>
        <w:t>Pariplay</w:t>
      </w:r>
      <w:proofErr w:type="spellEnd"/>
      <w:r w:rsidR="004A2A02" w:rsidRPr="00A11163">
        <w:rPr>
          <w:sz w:val="24"/>
          <w:szCs w:val="24"/>
          <w:lang w:val="sq-AL"/>
        </w:rPr>
        <w:t xml:space="preserve"> në vitin 2019 dhe </w:t>
      </w:r>
      <w:proofErr w:type="spellStart"/>
      <w:r w:rsidR="004A2A02" w:rsidRPr="00A11163">
        <w:rPr>
          <w:sz w:val="24"/>
          <w:szCs w:val="24"/>
          <w:lang w:val="sq-AL"/>
        </w:rPr>
        <w:t>Btobet</w:t>
      </w:r>
      <w:proofErr w:type="spellEnd"/>
      <w:r w:rsidR="004A2A02" w:rsidRPr="00A11163">
        <w:rPr>
          <w:sz w:val="24"/>
          <w:szCs w:val="24"/>
          <w:lang w:val="sq-AL"/>
        </w:rPr>
        <w:t>, një ofrues i basteve sportive, në vitin 2020.</w:t>
      </w:r>
    </w:p>
    <w:p w:rsidR="004A2A02" w:rsidRPr="00A11163" w:rsidRDefault="0029756C">
      <w:pPr>
        <w:rPr>
          <w:sz w:val="24"/>
          <w:szCs w:val="24"/>
          <w:lang w:val="sq-AL"/>
        </w:rPr>
      </w:pPr>
      <w:proofErr w:type="spellStart"/>
      <w:r w:rsidRPr="00A11163">
        <w:rPr>
          <w:sz w:val="24"/>
          <w:szCs w:val="24"/>
          <w:lang w:val="sq-AL"/>
        </w:rPr>
        <w:t>Aspire</w:t>
      </w:r>
      <w:proofErr w:type="spellEnd"/>
      <w:r w:rsidRPr="00A11163">
        <w:rPr>
          <w:sz w:val="24"/>
          <w:szCs w:val="24"/>
          <w:lang w:val="sq-AL"/>
        </w:rPr>
        <w:t xml:space="preserve"> Global </w:t>
      </w:r>
      <w:proofErr w:type="spellStart"/>
      <w:r w:rsidRPr="00A11163">
        <w:rPr>
          <w:sz w:val="24"/>
          <w:szCs w:val="24"/>
          <w:lang w:val="sq-AL"/>
        </w:rPr>
        <w:t>Plc</w:t>
      </w:r>
      <w:proofErr w:type="spellEnd"/>
      <w:r w:rsidRPr="00A11163">
        <w:rPr>
          <w:sz w:val="24"/>
          <w:szCs w:val="24"/>
          <w:lang w:val="sq-AL"/>
        </w:rPr>
        <w:t>. është aktive me Maqedoninë e Veriut përmes shoqërisë në pronësi të plotë të B-TECHNOLOXHI SHPKNJP Shkup, me seli në rr. 11 tetor nr. 33A, Shkup ("</w:t>
      </w:r>
      <w:proofErr w:type="spellStart"/>
      <w:r w:rsidRPr="00A11163">
        <w:rPr>
          <w:sz w:val="24"/>
          <w:szCs w:val="24"/>
          <w:lang w:val="sq-AL"/>
        </w:rPr>
        <w:t>Btobet</w:t>
      </w:r>
      <w:proofErr w:type="spellEnd"/>
      <w:r w:rsidRPr="00A11163">
        <w:rPr>
          <w:sz w:val="24"/>
          <w:szCs w:val="24"/>
          <w:lang w:val="sq-AL"/>
        </w:rPr>
        <w:t xml:space="preserve">"). </w:t>
      </w:r>
      <w:proofErr w:type="spellStart"/>
      <w:r w:rsidRPr="00A11163">
        <w:rPr>
          <w:sz w:val="24"/>
          <w:szCs w:val="24"/>
          <w:lang w:val="sq-AL"/>
        </w:rPr>
        <w:t>Btobet</w:t>
      </w:r>
      <w:proofErr w:type="spellEnd"/>
      <w:r w:rsidRPr="00A11163">
        <w:rPr>
          <w:sz w:val="24"/>
          <w:szCs w:val="24"/>
          <w:lang w:val="sq-AL"/>
        </w:rPr>
        <w:t xml:space="preserve"> zhvillon dhe furnizon softuer biznesi dhe nuk ka asnjë ofertë komerciale për përdoruesit përfundimtarë në Maqedoninë e Veriut gjatë vitit 2021.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>Komisioni konstatoi se përqendrimi i parashtruar bie nën dispozitat e Ligjit për Mbrojtjen e Konkurrencës, sepse i plotëson kushtet e nenit 12 paragrafi (1) pika 2) dhe nenit 14 paragrafi (1) pika 1 dhe pika 2)) të Ligjit për Mbrojtje të Konkurrencës.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 xml:space="preserve">Komisioni, duke marrë parasysh kriteret e nenit 17 paragrafi (2), paragrafi (3) dhe paragrafi (4) të Ligjit për mbrojtjen e konkurrencës dhe pikën 6 (b) të </w:t>
      </w:r>
      <w:r w:rsidRPr="00A11163">
        <w:rPr>
          <w:rFonts w:eastAsia="Calibri" w:cstheme="minorHAnsi"/>
          <w:i/>
          <w:sz w:val="24"/>
          <w:szCs w:val="24"/>
          <w:lang w:val="sq-AL"/>
        </w:rPr>
        <w:t xml:space="preserve">Udhëzimeve për përcaktimin e rasteve në të cilat gjatë vlerësimit të përqendrimeve, Komisioni për Mbrojtjen e Konkurrencës zakonisht përcakton se të njëjtat janë në përputhje me Ligjin për mbrojtjen e konkurrencës, </w:t>
      </w:r>
      <w:r w:rsidRPr="00A11163">
        <w:rPr>
          <w:rFonts w:eastAsia="Calibri" w:cstheme="minorHAnsi"/>
          <w:sz w:val="24"/>
          <w:szCs w:val="24"/>
          <w:lang w:val="sq-AL"/>
        </w:rPr>
        <w:lastRenderedPageBreak/>
        <w:t>vlerëson se përqendrimi i parashtruar, edhe pse bie nën dispozitat e Ligjit, është në përputhje me të, sepse nuk do ketë në masë të konsiderueshme pengimin, kufizimin ose prishjen e  konkurrencës efektive të tregut ose të pjesës qenësore të tij , veçanërisht si rezultat i krijimit ose forcimit të pozitës dominuese të pjesëmarrësve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 xml:space="preserve">Duke pasur parasysh këtë vlerësim të përqendrimit, Komisioni vendosi si në </w:t>
      </w:r>
      <w:proofErr w:type="spellStart"/>
      <w:r w:rsidRPr="00A11163">
        <w:rPr>
          <w:rFonts w:eastAsia="Calibri" w:cstheme="minorHAnsi"/>
          <w:sz w:val="24"/>
          <w:szCs w:val="24"/>
          <w:lang w:val="sq-AL"/>
        </w:rPr>
        <w:t>disp</w:t>
      </w:r>
      <w:bookmarkStart w:id="0" w:name="_GoBack"/>
      <w:bookmarkEnd w:id="0"/>
      <w:r w:rsidRPr="00A11163">
        <w:rPr>
          <w:rFonts w:eastAsia="Calibri" w:cstheme="minorHAnsi"/>
          <w:sz w:val="24"/>
          <w:szCs w:val="24"/>
          <w:lang w:val="sq-AL"/>
        </w:rPr>
        <w:t>ozitiv</w:t>
      </w:r>
      <w:proofErr w:type="spellEnd"/>
      <w:r w:rsidRPr="00A11163">
        <w:rPr>
          <w:rFonts w:eastAsia="Calibri" w:cstheme="minorHAnsi"/>
          <w:sz w:val="24"/>
          <w:szCs w:val="24"/>
          <w:lang w:val="sq-AL"/>
        </w:rPr>
        <w:t xml:space="preserve"> të këtij Aktvendimi, në përputhje me nenin 19 paragrafi (1) pika 2) të Ligjit për mbrojtjen e konkurrencës.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 xml:space="preserve">Sipas Nenit 53 paragrafi (2) të Ligjit për mbrojtjen e konkurrencës padia nuk e prolongon zbatimin e aktvendimit. 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11163">
        <w:rPr>
          <w:rFonts w:eastAsia="Calibri" w:cstheme="minorHAnsi"/>
          <w:b/>
          <w:sz w:val="24"/>
          <w:szCs w:val="24"/>
          <w:lang w:val="sq-AL"/>
        </w:rPr>
        <w:t>Udhëzim për mjetin juridik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A11163">
        <w:rPr>
          <w:rFonts w:eastAsia="Calibri" w:cstheme="minorHAnsi"/>
          <w:sz w:val="24"/>
          <w:szCs w:val="24"/>
          <w:lang w:val="sq-AL"/>
        </w:rPr>
        <w:t>Kundër këtij aktvendimi mund të parashtrohet padi për inicim të kontestit  administrativ në Gjykatën Administrative të Republikës së Maqedonisë në afat prej 30 ditësh nga dita e dorëzimit të tij.</w:t>
      </w: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29756C" w:rsidRPr="00A11163" w:rsidRDefault="0029756C" w:rsidP="0029756C">
      <w:pPr>
        <w:spacing w:after="0" w:line="276" w:lineRule="auto"/>
        <w:jc w:val="both"/>
        <w:rPr>
          <w:rFonts w:eastAsia="Calibri" w:cstheme="minorHAnsi"/>
          <w:sz w:val="24"/>
          <w:szCs w:val="24"/>
          <w:lang w:val="sq-AL"/>
        </w:rPr>
      </w:pPr>
    </w:p>
    <w:p w:rsidR="0029756C" w:rsidRPr="00A11163" w:rsidRDefault="0029756C" w:rsidP="0029756C">
      <w:pPr>
        <w:tabs>
          <w:tab w:val="left" w:pos="426"/>
        </w:tabs>
        <w:spacing w:after="0" w:line="276" w:lineRule="auto"/>
        <w:ind w:left="6480"/>
        <w:jc w:val="both"/>
        <w:rPr>
          <w:rFonts w:eastAsia="Times New Roman" w:cstheme="minorHAnsi"/>
          <w:b/>
          <w:sz w:val="24"/>
          <w:szCs w:val="24"/>
          <w:lang w:val="sq-AL"/>
        </w:rPr>
      </w:pPr>
      <w:r w:rsidRPr="00A11163">
        <w:rPr>
          <w:rFonts w:eastAsia="Times New Roman" w:cstheme="minorHAnsi"/>
          <w:sz w:val="24"/>
          <w:szCs w:val="24"/>
          <w:lang w:val="sq-AL"/>
        </w:rPr>
        <w:t xml:space="preserve">     </w:t>
      </w:r>
      <w:r w:rsidRPr="00A11163">
        <w:rPr>
          <w:rFonts w:eastAsia="Times New Roman" w:cstheme="minorHAnsi"/>
          <w:b/>
          <w:sz w:val="24"/>
          <w:szCs w:val="24"/>
          <w:lang w:val="sq-AL"/>
        </w:rPr>
        <w:t xml:space="preserve">KRYETAR </w:t>
      </w:r>
    </w:p>
    <w:p w:rsidR="0029756C" w:rsidRPr="00A11163" w:rsidRDefault="0029756C" w:rsidP="0029756C">
      <w:pPr>
        <w:tabs>
          <w:tab w:val="left" w:pos="426"/>
        </w:tabs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val="sq-AL"/>
        </w:rPr>
      </w:pPr>
      <w:r w:rsidRPr="00A11163">
        <w:rPr>
          <w:rFonts w:eastAsia="Times New Roman" w:cstheme="minorHAnsi"/>
          <w:b/>
          <w:sz w:val="24"/>
          <w:szCs w:val="24"/>
          <w:lang w:val="sq-AL"/>
        </w:rPr>
        <w:t>I KOMISIONIT PËR MBROJTJEN E KONKURRENCËS</w:t>
      </w:r>
    </w:p>
    <w:p w:rsidR="0029756C" w:rsidRPr="00A11163" w:rsidRDefault="0029756C" w:rsidP="0029756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val="sq-AL"/>
        </w:rPr>
      </w:pPr>
      <w:r w:rsidRPr="00A11163">
        <w:rPr>
          <w:rFonts w:eastAsia="Times New Roman" w:cstheme="minorHAnsi"/>
          <w:b/>
          <w:sz w:val="24"/>
          <w:szCs w:val="24"/>
          <w:lang w:val="sq-AL"/>
        </w:rPr>
        <w:t xml:space="preserve">                                                                                         </w:t>
      </w:r>
      <w:r w:rsidRPr="00A11163">
        <w:rPr>
          <w:rFonts w:cstheme="minorHAnsi"/>
          <w:b/>
          <w:sz w:val="24"/>
          <w:szCs w:val="24"/>
          <w:lang w:val="sq-AL"/>
        </w:rPr>
        <w:t xml:space="preserve">Prof. Dr. </w:t>
      </w:r>
      <w:proofErr w:type="spellStart"/>
      <w:r w:rsidRPr="00A11163">
        <w:rPr>
          <w:rFonts w:cstheme="minorHAnsi"/>
          <w:b/>
          <w:sz w:val="24"/>
          <w:szCs w:val="24"/>
          <w:lang w:val="sq-AL"/>
        </w:rPr>
        <w:t>Владимир</w:t>
      </w:r>
      <w:proofErr w:type="spellEnd"/>
      <w:r w:rsidRPr="00A11163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A11163">
        <w:rPr>
          <w:rFonts w:cstheme="minorHAnsi"/>
          <w:b/>
          <w:sz w:val="24"/>
          <w:szCs w:val="24"/>
          <w:lang w:val="sq-AL"/>
        </w:rPr>
        <w:t>Наумовски</w:t>
      </w:r>
      <w:proofErr w:type="spellEnd"/>
    </w:p>
    <w:p w:rsidR="0029756C" w:rsidRPr="00823775" w:rsidRDefault="0029756C">
      <w:pPr>
        <w:rPr>
          <w:sz w:val="24"/>
          <w:szCs w:val="24"/>
          <w:lang w:val="sq-AL"/>
        </w:rPr>
      </w:pPr>
    </w:p>
    <w:sectPr w:rsidR="0029756C" w:rsidRPr="00823775" w:rsidSect="00636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3"/>
    <w:rsid w:val="001F5703"/>
    <w:rsid w:val="0029756C"/>
    <w:rsid w:val="004A2A02"/>
    <w:rsid w:val="0054068D"/>
    <w:rsid w:val="006362F0"/>
    <w:rsid w:val="00823775"/>
    <w:rsid w:val="009B501C"/>
    <w:rsid w:val="00A11163"/>
    <w:rsid w:val="00EE11D3"/>
    <w:rsid w:val="00F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C279-38B0-4DBA-AC31-25B40F4F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Elmazi</dc:creator>
  <cp:keywords/>
  <dc:description/>
  <cp:lastModifiedBy>Driton Elmazi</cp:lastModifiedBy>
  <cp:revision>5</cp:revision>
  <dcterms:created xsi:type="dcterms:W3CDTF">2022-08-12T07:52:00Z</dcterms:created>
  <dcterms:modified xsi:type="dcterms:W3CDTF">2022-08-12T08:54:00Z</dcterms:modified>
</cp:coreProperties>
</file>